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autoSpaceDE w:val="0"/>
        <w:autoSpaceDN w:val="0"/>
        <w:adjustRightInd w:val="0"/>
        <w:spacing w:after="0" w:line="240" w:lineRule="auto"/>
        <w:rPr>
          <w:rFonts w:ascii="CenturyGothic" w:hAnsi="CenturyGothic" w:cs="CenturyGothic"/>
          <w:color w:val="000000"/>
          <w:sz w:val="20"/>
          <w:szCs w:val="20"/>
        </w:rPr>
      </w:pPr>
    </w:p>
    <w:p>
      <w:pPr>
        <w:autoSpaceDE w:val="0"/>
        <w:autoSpaceDN w:val="0"/>
        <w:adjustRightInd w:val="0"/>
        <w:spacing w:after="0" w:line="240" w:lineRule="auto"/>
        <w:rPr>
          <w:rFonts w:ascii="CenturyGothic" w:hAnsi="CenturyGothic" w:cs="CenturyGothic"/>
          <w:color w:val="000000"/>
          <w:sz w:val="20"/>
          <w:szCs w:val="20"/>
        </w:rPr>
      </w:pPr>
    </w:p>
    <w:p>
      <w:pPr>
        <w:autoSpaceDE w:val="0"/>
        <w:autoSpaceDN w:val="0"/>
        <w:adjustRightInd w:val="0"/>
        <w:spacing w:after="0" w:line="240" w:lineRule="auto"/>
        <w:rPr>
          <w:rFonts w:ascii="CenturyGothic" w:hAnsi="CenturyGothic" w:cs="CenturyGothic"/>
          <w:color w:val="000000"/>
          <w:sz w:val="20"/>
          <w:szCs w:val="20"/>
        </w:rPr>
      </w:pPr>
    </w:p>
    <w:p>
      <w:pPr>
        <w:autoSpaceDE w:val="0"/>
        <w:autoSpaceDN w:val="0"/>
        <w:adjustRightInd w:val="0"/>
        <w:jc w:val="center"/>
        <w:rPr>
          <w:rFonts w:ascii="Comic Sans MS" w:hAnsi="Comic Sans MS" w:cs="Comic Sans MS"/>
          <w:b/>
          <w:bCs/>
          <w:sz w:val="28"/>
          <w:szCs w:val="28"/>
        </w:rPr>
      </w:pPr>
      <w:r>
        <w:rPr>
          <w:rFonts w:ascii="Century Gothic" w:hAnsi="Century Gothic" w:cs="Comic Sans MS"/>
          <w:b/>
          <w:bCs/>
          <w:sz w:val="28"/>
          <w:szCs w:val="28"/>
        </w:rPr>
        <w:t>Annual Report to Governors and Parents on the Implementation of the Special Educational Needs (SEN)</w:t>
      </w:r>
    </w:p>
    <w:p>
      <w:pPr>
        <w:autoSpaceDE w:val="0"/>
        <w:autoSpaceDN w:val="0"/>
        <w:adjustRightInd w:val="0"/>
        <w:spacing w:after="0" w:line="360" w:lineRule="auto"/>
        <w:rPr>
          <w:rFonts w:ascii="CenturyGothic" w:hAnsi="CenturyGothic" w:cs="CenturyGothic"/>
          <w:color w:val="000000"/>
        </w:rPr>
      </w:pPr>
    </w:p>
    <w:p>
      <w:pPr>
        <w:autoSpaceDE w:val="0"/>
        <w:autoSpaceDN w:val="0"/>
        <w:adjustRightInd w:val="0"/>
        <w:spacing w:line="240" w:lineRule="auto"/>
        <w:rPr>
          <w:rFonts w:ascii="Century Gothic" w:hAnsi="Century Gothic" w:cs="Comic Sans MS"/>
        </w:rPr>
      </w:pPr>
      <w:r>
        <w:rPr>
          <w:rFonts w:ascii="Century Gothic" w:hAnsi="Century Gothic" w:cs="Comic Sans MS"/>
        </w:rPr>
        <w:t xml:space="preserve">Key Staff: </w:t>
      </w:r>
      <w:r>
        <w:rPr>
          <w:rFonts w:ascii="Century Gothic" w:hAnsi="Century Gothic" w:cs="Comic Sans MS"/>
        </w:rPr>
        <w:tab/>
        <w:t>Special Educational Needs Co-ordinator (</w:t>
      </w:r>
      <w:proofErr w:type="spellStart"/>
      <w:r>
        <w:rPr>
          <w:rFonts w:ascii="Century Gothic" w:hAnsi="Century Gothic" w:cs="Comic Sans MS"/>
        </w:rPr>
        <w:t>SENDCo</w:t>
      </w:r>
      <w:proofErr w:type="spellEnd"/>
      <w:r>
        <w:rPr>
          <w:rFonts w:ascii="Century Gothic" w:hAnsi="Century Gothic" w:cs="Comic Sans MS"/>
        </w:rPr>
        <w:t xml:space="preserve">): Tracey </w:t>
      </w:r>
      <w:proofErr w:type="spellStart"/>
      <w:r>
        <w:rPr>
          <w:rFonts w:ascii="Century Gothic" w:hAnsi="Century Gothic" w:cs="Comic Sans MS"/>
        </w:rPr>
        <w:t>Timms</w:t>
      </w:r>
      <w:proofErr w:type="spellEnd"/>
    </w:p>
    <w:p>
      <w:pPr>
        <w:autoSpaceDE w:val="0"/>
        <w:autoSpaceDN w:val="0"/>
        <w:adjustRightInd w:val="0"/>
        <w:spacing w:line="240" w:lineRule="auto"/>
        <w:ind w:left="720" w:firstLine="720"/>
        <w:rPr>
          <w:rFonts w:ascii="Century Gothic" w:hAnsi="Century Gothic" w:cs="Comic Sans MS"/>
        </w:rPr>
      </w:pPr>
      <w:r>
        <w:rPr>
          <w:rFonts w:ascii="Century Gothic" w:hAnsi="Century Gothic" w:cs="Comic Sans MS"/>
        </w:rPr>
        <w:t>Special Educational Needs (SEN) Governor: Michelle Jarvis</w:t>
      </w:r>
    </w:p>
    <w:p>
      <w:pPr>
        <w:autoSpaceDE w:val="0"/>
        <w:autoSpaceDN w:val="0"/>
        <w:adjustRightInd w:val="0"/>
        <w:spacing w:after="0" w:line="240" w:lineRule="auto"/>
        <w:rPr>
          <w:rFonts w:ascii="Century Gothic" w:hAnsi="Century Gothic" w:cs="CenturyGothic"/>
          <w:color w:val="000000"/>
        </w:rPr>
      </w:pPr>
    </w:p>
    <w:p>
      <w:pPr>
        <w:autoSpaceDE w:val="0"/>
        <w:autoSpaceDN w:val="0"/>
        <w:adjustRightInd w:val="0"/>
        <w:spacing w:line="240" w:lineRule="auto"/>
        <w:rPr>
          <w:rFonts w:ascii="Comic Sans MS" w:hAnsi="Comic Sans MS" w:cs="Comic Sans MS"/>
        </w:rPr>
      </w:pPr>
      <w:r>
        <w:rPr>
          <w:rFonts w:ascii="Century Gothic" w:hAnsi="Century Gothic" w:cs="Comic Sans MS"/>
        </w:rPr>
        <w:t xml:space="preserve">All policies include explicit references to disability equality and SEN. </w:t>
      </w:r>
      <w:r>
        <w:rPr>
          <w:rFonts w:ascii="Century Gothic" w:hAnsi="Century Gothic" w:cs="CenturyGothic"/>
          <w:color w:val="000000"/>
        </w:rPr>
        <w:t>The SEN policy was reviewed by the Governing Body in January 2018, and is to be reviewed in December 2019</w:t>
      </w:r>
      <w:r>
        <w:rPr>
          <w:rFonts w:ascii="CenturyGothic" w:hAnsi="CenturyGothic" w:cs="CenturyGothic"/>
          <w:color w:val="000000"/>
        </w:rPr>
        <w:t>.</w:t>
      </w:r>
    </w:p>
    <w:p>
      <w:pPr>
        <w:autoSpaceDE w:val="0"/>
        <w:autoSpaceDN w:val="0"/>
        <w:adjustRightInd w:val="0"/>
        <w:spacing w:after="0" w:line="240" w:lineRule="auto"/>
        <w:rPr>
          <w:rFonts w:ascii="CenturyGothic" w:hAnsi="CenturyGothic" w:cs="CenturyGothic"/>
          <w:color w:val="000000"/>
        </w:rPr>
      </w:pPr>
      <w:r>
        <w:rPr>
          <w:rFonts w:ascii="CenturyGothic" w:hAnsi="CenturyGothic" w:cs="CenturyGothic"/>
          <w:color w:val="000000"/>
        </w:rPr>
        <w:t>.</w:t>
      </w:r>
    </w:p>
    <w:p>
      <w:pPr>
        <w:autoSpaceDE w:val="0"/>
        <w:autoSpaceDN w:val="0"/>
        <w:adjustRightInd w:val="0"/>
        <w:spacing w:after="0" w:line="360" w:lineRule="auto"/>
        <w:rPr>
          <w:rFonts w:ascii="Century Gothic" w:hAnsi="Century Gothic" w:cs="CenturyGothic-Bold"/>
          <w:b/>
          <w:bCs/>
          <w:color w:val="000000"/>
        </w:rPr>
      </w:pPr>
      <w:r>
        <w:rPr>
          <w:rFonts w:ascii="Century Gothic" w:hAnsi="Century Gothic" w:cs="CenturyGothic-Bold"/>
          <w:b/>
          <w:bCs/>
          <w:color w:val="000000"/>
        </w:rPr>
        <w:t>1) The SEND system</w:t>
      </w:r>
    </w:p>
    <w:p>
      <w:pPr>
        <w:autoSpaceDE w:val="0"/>
        <w:autoSpaceDN w:val="0"/>
        <w:adjustRightInd w:val="0"/>
        <w:spacing w:after="0" w:line="360" w:lineRule="auto"/>
        <w:rPr>
          <w:rFonts w:ascii="Century Gothic" w:hAnsi="Century Gothic" w:cs="CenturyGothic"/>
          <w:color w:val="000000"/>
        </w:rPr>
      </w:pPr>
      <w:r>
        <w:rPr>
          <w:rFonts w:ascii="Century Gothic" w:hAnsi="Century Gothic" w:cs="CenturyGothic"/>
          <w:color w:val="000000"/>
        </w:rPr>
        <w:t xml:space="preserve">Since September 2014, all local authorities have to publish a local offer setting out what support is available to all children and young people with SEN and disability aged between 0-25. </w:t>
      </w:r>
    </w:p>
    <w:p>
      <w:pPr>
        <w:autoSpaceDE w:val="0"/>
        <w:autoSpaceDN w:val="0"/>
        <w:adjustRightInd w:val="0"/>
        <w:spacing w:after="0" w:line="360" w:lineRule="auto"/>
        <w:rPr>
          <w:rFonts w:ascii="Century Gothic" w:hAnsi="Century Gothic" w:cs="CenturyGothic"/>
          <w:color w:val="000000"/>
        </w:rPr>
      </w:pPr>
    </w:p>
    <w:p>
      <w:pPr>
        <w:autoSpaceDE w:val="0"/>
        <w:autoSpaceDN w:val="0"/>
        <w:adjustRightInd w:val="0"/>
        <w:spacing w:after="0" w:line="360" w:lineRule="auto"/>
        <w:rPr>
          <w:rFonts w:ascii="Century Gothic" w:hAnsi="Century Gothic" w:cs="CenturyGothic"/>
          <w:color w:val="000000"/>
        </w:rPr>
      </w:pPr>
      <w:r>
        <w:rPr>
          <w:rFonts w:ascii="Century Gothic" w:hAnsi="Century Gothic" w:cs="CenturyGothic"/>
          <w:color w:val="000000"/>
        </w:rPr>
        <w:t xml:space="preserve">The role of the SENCO is strategic, while greater emphasis is placed on the duties of the class teacher in terms of SEND. </w:t>
      </w:r>
    </w:p>
    <w:p>
      <w:pPr>
        <w:autoSpaceDE w:val="0"/>
        <w:autoSpaceDN w:val="0"/>
        <w:adjustRightInd w:val="0"/>
        <w:spacing w:after="0" w:line="360" w:lineRule="auto"/>
        <w:rPr>
          <w:rFonts w:ascii="Century Gothic" w:hAnsi="Century Gothic" w:cs="CenturyGothic"/>
          <w:color w:val="000000"/>
        </w:rPr>
      </w:pPr>
    </w:p>
    <w:p>
      <w:pPr>
        <w:autoSpaceDE w:val="0"/>
        <w:autoSpaceDN w:val="0"/>
        <w:adjustRightInd w:val="0"/>
        <w:spacing w:after="0" w:line="360" w:lineRule="auto"/>
        <w:rPr>
          <w:rFonts w:ascii="Century Gothic" w:hAnsi="Century Gothic" w:cs="CenturyGothic-Bold"/>
          <w:b/>
          <w:bCs/>
          <w:color w:val="000000"/>
        </w:rPr>
      </w:pPr>
      <w:r>
        <w:rPr>
          <w:rFonts w:ascii="Century Gothic" w:hAnsi="Century Gothic" w:cs="CenturyGothic"/>
          <w:color w:val="000000"/>
        </w:rPr>
        <w:t xml:space="preserve">Statements of special educational needs have been replaced with </w:t>
      </w:r>
      <w:r>
        <w:rPr>
          <w:rFonts w:ascii="Century Gothic" w:hAnsi="Century Gothic" w:cs="CenturyGothic-Bold"/>
          <w:b/>
          <w:bCs/>
          <w:color w:val="000000"/>
        </w:rPr>
        <w:t xml:space="preserve">a single Education, Health and Care (EHC) plan </w:t>
      </w:r>
      <w:r>
        <w:rPr>
          <w:rFonts w:ascii="Century Gothic" w:hAnsi="Century Gothic" w:cs="CenturyGothic"/>
          <w:color w:val="000000"/>
        </w:rPr>
        <w:t>for children and young people with complex needs. The EHC plan</w:t>
      </w:r>
      <w:r>
        <w:rPr>
          <w:rFonts w:ascii="Century Gothic" w:hAnsi="Century Gothic" w:cs="CenturyGothic-Bold"/>
          <w:b/>
          <w:bCs/>
          <w:color w:val="000000"/>
        </w:rPr>
        <w:t xml:space="preserve"> </w:t>
      </w:r>
      <w:r>
        <w:rPr>
          <w:rFonts w:ascii="Century Gothic" w:hAnsi="Century Gothic" w:cs="CenturyGothic"/>
          <w:color w:val="000000"/>
        </w:rPr>
        <w:t>places much more emphasis on personal goals and sets out the support the pupil will receive while</w:t>
      </w:r>
      <w:r>
        <w:rPr>
          <w:rFonts w:ascii="Century Gothic" w:hAnsi="Century Gothic" w:cs="CenturyGothic-Bold"/>
          <w:b/>
          <w:bCs/>
          <w:color w:val="000000"/>
        </w:rPr>
        <w:t xml:space="preserve"> </w:t>
      </w:r>
      <w:r>
        <w:rPr>
          <w:rFonts w:ascii="Century Gothic" w:hAnsi="Century Gothic" w:cs="CenturyGothic"/>
          <w:color w:val="000000"/>
        </w:rPr>
        <w:t>they are in education. Under the new system, which has been designed to work better around a</w:t>
      </w:r>
      <w:r>
        <w:rPr>
          <w:rFonts w:ascii="Century Gothic" w:hAnsi="Century Gothic" w:cs="CenturyGothic-Bold"/>
          <w:b/>
          <w:bCs/>
          <w:color w:val="000000"/>
        </w:rPr>
        <w:t xml:space="preserve"> </w:t>
      </w:r>
      <w:r>
        <w:rPr>
          <w:rFonts w:ascii="Century Gothic" w:hAnsi="Century Gothic" w:cs="CenturyGothic"/>
          <w:color w:val="000000"/>
        </w:rPr>
        <w:t>family’s needs, authorities will offer a co-ordinated education health and care plan assessment</w:t>
      </w:r>
      <w:r>
        <w:rPr>
          <w:rFonts w:ascii="Century Gothic" w:hAnsi="Century Gothic" w:cs="CenturyGothic-Bold"/>
          <w:b/>
          <w:bCs/>
          <w:color w:val="000000"/>
        </w:rPr>
        <w:t xml:space="preserve"> </w:t>
      </w:r>
      <w:r>
        <w:rPr>
          <w:rFonts w:ascii="Century Gothic" w:hAnsi="Century Gothic" w:cs="CenturyGothic"/>
          <w:color w:val="000000"/>
        </w:rPr>
        <w:t>and issue an EHC plan within 20 weeks where one is needed. Those with an EHC plan may also</w:t>
      </w:r>
      <w:r>
        <w:rPr>
          <w:rFonts w:ascii="Century Gothic" w:hAnsi="Century Gothic" w:cs="CenturyGothic-Bold"/>
          <w:b/>
          <w:bCs/>
          <w:color w:val="000000"/>
        </w:rPr>
        <w:t xml:space="preserve"> </w:t>
      </w:r>
      <w:r>
        <w:rPr>
          <w:rFonts w:ascii="Century Gothic" w:hAnsi="Century Gothic" w:cs="CenturyGothic"/>
          <w:color w:val="000000"/>
        </w:rPr>
        <w:t>have the legal right to ask for a personal budget.</w:t>
      </w:r>
      <w:r>
        <w:rPr>
          <w:rFonts w:ascii="Century Gothic" w:hAnsi="Century Gothic" w:cs="CenturyGothic-Bold"/>
          <w:b/>
          <w:bCs/>
          <w:color w:val="000000"/>
        </w:rPr>
        <w:t xml:space="preserve"> </w:t>
      </w:r>
    </w:p>
    <w:p>
      <w:pPr>
        <w:autoSpaceDE w:val="0"/>
        <w:autoSpaceDN w:val="0"/>
        <w:adjustRightInd w:val="0"/>
        <w:spacing w:after="0" w:line="360" w:lineRule="auto"/>
        <w:rPr>
          <w:rFonts w:ascii="Century Gothic" w:hAnsi="Century Gothic" w:cs="CenturyGothic-Bold"/>
          <w:b/>
          <w:bCs/>
          <w:color w:val="000000"/>
        </w:rPr>
      </w:pPr>
    </w:p>
    <w:p>
      <w:pPr>
        <w:autoSpaceDE w:val="0"/>
        <w:autoSpaceDN w:val="0"/>
        <w:adjustRightInd w:val="0"/>
        <w:spacing w:after="0" w:line="360" w:lineRule="auto"/>
        <w:rPr>
          <w:rFonts w:ascii="Century Gothic" w:hAnsi="Century Gothic" w:cs="CenturyGothic-Bold"/>
          <w:b/>
          <w:bCs/>
          <w:color w:val="000000"/>
        </w:rPr>
      </w:pPr>
      <w:r>
        <w:rPr>
          <w:rFonts w:ascii="Century Gothic" w:hAnsi="Century Gothic" w:cs="CenturyGothic"/>
          <w:color w:val="000000"/>
        </w:rPr>
        <w:t>Local Authorities must provide independent information, advice and support for parents and</w:t>
      </w:r>
      <w:r>
        <w:rPr>
          <w:rFonts w:ascii="Century Gothic" w:hAnsi="Century Gothic" w:cs="CenturyGothic-Bold"/>
          <w:b/>
          <w:bCs/>
          <w:color w:val="000000"/>
        </w:rPr>
        <w:t xml:space="preserve"> </w:t>
      </w:r>
      <w:r>
        <w:rPr>
          <w:rFonts w:ascii="Century Gothic" w:hAnsi="Century Gothic" w:cs="CenturyGothic"/>
          <w:color w:val="000000"/>
        </w:rPr>
        <w:t xml:space="preserve">children and young people with SEN and disabilities. This is called the </w:t>
      </w:r>
    </w:p>
    <w:p>
      <w:pPr>
        <w:autoSpaceDE w:val="0"/>
        <w:autoSpaceDN w:val="0"/>
        <w:adjustRightInd w:val="0"/>
        <w:spacing w:after="0" w:line="360" w:lineRule="auto"/>
        <w:rPr>
          <w:rFonts w:ascii="Century Gothic" w:hAnsi="Century Gothic" w:cs="CenturyGothic"/>
          <w:color w:val="000000"/>
        </w:rPr>
      </w:pPr>
      <w:hyperlink r:id="rId4" w:history="1">
        <w:r>
          <w:rPr>
            <w:rStyle w:val="Hyperlink"/>
            <w:rFonts w:ascii="Century Gothic" w:hAnsi="Century Gothic" w:cs="ArialMT"/>
          </w:rPr>
          <w:t>https://www.oxfordshire.gov.uk/cms/public-site/special-educational-needs-and-disabilitylocal-offer</w:t>
        </w:r>
      </w:hyperlink>
      <w:r>
        <w:rPr>
          <w:rFonts w:ascii="Century Gothic" w:hAnsi="Century Gothic" w:cs="ArialMT"/>
          <w:color w:val="000000"/>
        </w:rPr>
        <w:t>.</w:t>
      </w:r>
      <w:r>
        <w:rPr>
          <w:rFonts w:ascii="Century Gothic" w:hAnsi="Century Gothic" w:cs="CenturyGothic"/>
          <w:color w:val="000000"/>
        </w:rPr>
        <w:t xml:space="preserve"> There is a link to this information on our school website.</w:t>
      </w:r>
    </w:p>
    <w:p>
      <w:pPr>
        <w:autoSpaceDE w:val="0"/>
        <w:autoSpaceDN w:val="0"/>
        <w:adjustRightInd w:val="0"/>
        <w:spacing w:after="0" w:line="360" w:lineRule="auto"/>
        <w:rPr>
          <w:rFonts w:ascii="Century Gothic" w:hAnsi="Century Gothic" w:cs="ArialMT"/>
          <w:color w:val="000000"/>
        </w:rPr>
      </w:pPr>
    </w:p>
    <w:p>
      <w:pPr>
        <w:autoSpaceDE w:val="0"/>
        <w:autoSpaceDN w:val="0"/>
        <w:adjustRightInd w:val="0"/>
        <w:spacing w:after="0" w:line="360" w:lineRule="auto"/>
        <w:rPr>
          <w:rFonts w:ascii="Century Gothic" w:hAnsi="Century Gothic" w:cs="CenturyGothic"/>
          <w:color w:val="000000"/>
        </w:rPr>
      </w:pPr>
      <w:r>
        <w:rPr>
          <w:rFonts w:ascii="Century Gothic" w:hAnsi="Century Gothic" w:cs="CenturyGothic"/>
          <w:color w:val="000000"/>
        </w:rPr>
        <w:lastRenderedPageBreak/>
        <w:t xml:space="preserve">Families can also now access new </w:t>
      </w:r>
      <w:r>
        <w:rPr>
          <w:rFonts w:ascii="Century Gothic" w:hAnsi="Century Gothic" w:cs="CenturyGothic-Bold"/>
          <w:b/>
          <w:bCs/>
          <w:color w:val="000000"/>
        </w:rPr>
        <w:t xml:space="preserve">Independent Supporters </w:t>
      </w:r>
      <w:r>
        <w:rPr>
          <w:rFonts w:ascii="Century Gothic" w:hAnsi="Century Gothic" w:cs="CenturyGothic"/>
          <w:color w:val="000000"/>
        </w:rPr>
        <w:t>to help with the EHC needs assessments, and transfer from statements to EHC plans. They have access to mediation services so that disagreements can be resolved locally. Families still have the right to go to the SEND Tribunal to resolve disputes if they want to do so, but must have a certificate from the Local Authority to show they have at least considered mediation first.</w:t>
      </w:r>
    </w:p>
    <w:p>
      <w:pPr>
        <w:autoSpaceDE w:val="0"/>
        <w:autoSpaceDN w:val="0"/>
        <w:adjustRightInd w:val="0"/>
        <w:spacing w:after="0" w:line="360" w:lineRule="auto"/>
        <w:rPr>
          <w:rFonts w:ascii="Century Gothic" w:hAnsi="Century Gothic" w:cs="Arial-BoldMT"/>
          <w:b/>
          <w:bCs/>
          <w:color w:val="000000"/>
        </w:rPr>
      </w:pPr>
    </w:p>
    <w:p>
      <w:pPr>
        <w:autoSpaceDE w:val="0"/>
        <w:autoSpaceDN w:val="0"/>
        <w:adjustRightInd w:val="0"/>
        <w:spacing w:after="0" w:line="360" w:lineRule="auto"/>
        <w:rPr>
          <w:rFonts w:ascii="Century Gothic" w:hAnsi="Century Gothic" w:cs="CenturyGothic-Bold"/>
          <w:b/>
          <w:bCs/>
          <w:color w:val="000000"/>
        </w:rPr>
      </w:pPr>
      <w:r>
        <w:rPr>
          <w:rFonts w:ascii="Century Gothic" w:hAnsi="Century Gothic" w:cs="CenturyGothic-Bold"/>
          <w:b/>
          <w:bCs/>
          <w:color w:val="000000"/>
        </w:rPr>
        <w:t>Support for those without EHC plans</w:t>
      </w:r>
    </w:p>
    <w:p>
      <w:pPr>
        <w:autoSpaceDE w:val="0"/>
        <w:autoSpaceDN w:val="0"/>
        <w:adjustRightInd w:val="0"/>
        <w:spacing w:after="0" w:line="360" w:lineRule="auto"/>
        <w:rPr>
          <w:rFonts w:ascii="Century Gothic" w:hAnsi="Century Gothic" w:cs="CenturyGothic"/>
          <w:color w:val="000000"/>
        </w:rPr>
      </w:pPr>
      <w:r>
        <w:rPr>
          <w:rFonts w:ascii="Century Gothic" w:hAnsi="Century Gothic" w:cs="CenturyGothic"/>
          <w:color w:val="000000"/>
        </w:rPr>
        <w:t xml:space="preserve">For those with SEN or disabilities who do not need an EHC plan, there is now a single category of </w:t>
      </w:r>
      <w:r>
        <w:rPr>
          <w:rFonts w:ascii="Century Gothic" w:hAnsi="Century Gothic" w:cs="CenturyGothic-Bold"/>
          <w:b/>
          <w:bCs/>
          <w:color w:val="000000"/>
        </w:rPr>
        <w:t>SEN support</w:t>
      </w:r>
      <w:r>
        <w:rPr>
          <w:rFonts w:ascii="Century Gothic" w:hAnsi="Century Gothic" w:cs="CenturyGothic"/>
          <w:color w:val="000000"/>
        </w:rPr>
        <w:t>, which replaces School Action and School Action Plus. We work with the child’s parents or carers to agree what support school will provide, and what this support will achieve, drawing in additional resources as needed, setting clear targets for progress, and tracking how it is working. We have developed a new Pupil Profile which sets out all the support and interventions in place for that child for that academic year.</w:t>
      </w:r>
    </w:p>
    <w:p>
      <w:pPr>
        <w:autoSpaceDE w:val="0"/>
        <w:autoSpaceDN w:val="0"/>
        <w:adjustRightInd w:val="0"/>
        <w:spacing w:after="0" w:line="360" w:lineRule="auto"/>
        <w:rPr>
          <w:rFonts w:ascii="Century Gothic" w:hAnsi="Century Gothic" w:cs="CenturyGothic"/>
          <w:color w:val="000000"/>
        </w:rPr>
      </w:pPr>
    </w:p>
    <w:p>
      <w:pPr>
        <w:autoSpaceDE w:val="0"/>
        <w:autoSpaceDN w:val="0"/>
        <w:adjustRightInd w:val="0"/>
        <w:spacing w:after="0" w:line="360" w:lineRule="auto"/>
        <w:rPr>
          <w:rFonts w:ascii="Century Gothic" w:hAnsi="Century Gothic" w:cs="CenturyGothic-Bold"/>
          <w:b/>
          <w:bCs/>
          <w:color w:val="000000"/>
        </w:rPr>
      </w:pPr>
      <w:r>
        <w:rPr>
          <w:rFonts w:ascii="Century Gothic" w:hAnsi="Century Gothic" w:cs="CenturyGothic-Bold"/>
          <w:b/>
          <w:bCs/>
          <w:color w:val="000000"/>
        </w:rPr>
        <w:t>2) Identifying pupils with SEND</w:t>
      </w:r>
    </w:p>
    <w:p>
      <w:pPr>
        <w:autoSpaceDE w:val="0"/>
        <w:autoSpaceDN w:val="0"/>
        <w:adjustRightInd w:val="0"/>
        <w:spacing w:after="0" w:line="360" w:lineRule="auto"/>
        <w:rPr>
          <w:rFonts w:ascii="Century Gothic" w:hAnsi="Century Gothic" w:cs="CenturyGothic"/>
          <w:color w:val="000000"/>
        </w:rPr>
      </w:pPr>
      <w:r>
        <w:rPr>
          <w:rFonts w:ascii="Century Gothic" w:hAnsi="Century Gothic" w:cs="CenturyGothic"/>
          <w:color w:val="000000"/>
        </w:rPr>
        <w:t>Currently there are eleven children on the SEN Register, who have been identified as requiring additional support beyond Quality First teaching of the Universal Curriculum. This can be in the form of additional support to access the universal curriculum, or a personalised curriculum tailored to that child’s specific needs.</w:t>
      </w:r>
    </w:p>
    <w:p>
      <w:pPr>
        <w:autoSpaceDE w:val="0"/>
        <w:autoSpaceDN w:val="0"/>
        <w:adjustRightInd w:val="0"/>
        <w:spacing w:after="0" w:line="360" w:lineRule="auto"/>
        <w:rPr>
          <w:rFonts w:ascii="Century Gothic" w:hAnsi="Century Gothic" w:cs="CenturyGothic"/>
          <w:color w:val="000000"/>
        </w:rPr>
      </w:pPr>
    </w:p>
    <w:p>
      <w:pPr>
        <w:autoSpaceDE w:val="0"/>
        <w:autoSpaceDN w:val="0"/>
        <w:adjustRightInd w:val="0"/>
        <w:spacing w:after="0" w:line="360" w:lineRule="auto"/>
        <w:rPr>
          <w:rFonts w:ascii="Century Gothic" w:hAnsi="Century Gothic" w:cs="CenturyGothic"/>
          <w:color w:val="000000"/>
        </w:rPr>
      </w:pPr>
      <w:r>
        <w:rPr>
          <w:rFonts w:ascii="Century Gothic" w:hAnsi="Century Gothic" w:cs="CenturyGothic"/>
          <w:color w:val="000000"/>
        </w:rPr>
        <w:t>Using the updated guidance from the 2014 Oxfordshire Moderation Handbook, additional assessment and analysis informs the reason behind inadequate progress, and the choice of intervention and additional and/or different provision. This may lead to the child being added to the ‘SEN Register’ which is a database in SIMS.</w:t>
      </w:r>
    </w:p>
    <w:p>
      <w:pPr>
        <w:autoSpaceDE w:val="0"/>
        <w:autoSpaceDN w:val="0"/>
        <w:adjustRightInd w:val="0"/>
        <w:spacing w:after="0" w:line="360" w:lineRule="auto"/>
        <w:rPr>
          <w:rFonts w:ascii="Century Gothic" w:hAnsi="Century Gothic" w:cs="CenturyGothic"/>
          <w:color w:val="000000"/>
        </w:rPr>
      </w:pPr>
    </w:p>
    <w:p>
      <w:pPr>
        <w:autoSpaceDE w:val="0"/>
        <w:autoSpaceDN w:val="0"/>
        <w:adjustRightInd w:val="0"/>
        <w:spacing w:after="0" w:line="360" w:lineRule="auto"/>
        <w:rPr>
          <w:rFonts w:ascii="Century Gothic" w:hAnsi="Century Gothic" w:cs="CenturyGothic"/>
          <w:color w:val="000000"/>
        </w:rPr>
      </w:pPr>
      <w:r>
        <w:rPr>
          <w:rFonts w:ascii="Century Gothic" w:hAnsi="Century Gothic" w:cs="CenturyGothic"/>
          <w:color w:val="000000"/>
        </w:rPr>
        <w:t>Good quality teaching is provided for all learners, and learners with the most difficulties are taught by skilled teachers. Additional interventions are not a substitute for weak or ineffective practice.</w:t>
      </w:r>
    </w:p>
    <w:p>
      <w:pPr>
        <w:autoSpaceDE w:val="0"/>
        <w:autoSpaceDN w:val="0"/>
        <w:adjustRightInd w:val="0"/>
        <w:spacing w:after="0" w:line="360" w:lineRule="auto"/>
        <w:rPr>
          <w:rFonts w:ascii="Century Gothic" w:hAnsi="Century Gothic" w:cs="CenturyGothic"/>
          <w:color w:val="000000"/>
        </w:rPr>
      </w:pPr>
    </w:p>
    <w:p>
      <w:pPr>
        <w:autoSpaceDE w:val="0"/>
        <w:autoSpaceDN w:val="0"/>
        <w:adjustRightInd w:val="0"/>
        <w:spacing w:after="0" w:line="360" w:lineRule="auto"/>
        <w:rPr>
          <w:rFonts w:ascii="Century Gothic" w:hAnsi="Century Gothic" w:cs="CenturyGothic"/>
          <w:color w:val="000000"/>
        </w:rPr>
      </w:pPr>
      <w:r>
        <w:rPr>
          <w:rFonts w:ascii="Century Gothic" w:hAnsi="Century Gothic" w:cs="CenturyGothic"/>
          <w:color w:val="000000"/>
        </w:rPr>
        <w:t>Staff working directly with a learner with SEN have an enhanced level of expertise enabling them to adapt teaching and learning appropriately to secure improved outcomes.</w:t>
      </w:r>
    </w:p>
    <w:p>
      <w:pPr>
        <w:autoSpaceDE w:val="0"/>
        <w:autoSpaceDN w:val="0"/>
        <w:adjustRightInd w:val="0"/>
        <w:spacing w:after="0" w:line="360" w:lineRule="auto"/>
        <w:rPr>
          <w:rFonts w:ascii="Century Gothic" w:hAnsi="Century Gothic" w:cs="CenturyGothic"/>
          <w:color w:val="000000"/>
        </w:rPr>
      </w:pPr>
    </w:p>
    <w:p>
      <w:pPr>
        <w:autoSpaceDE w:val="0"/>
        <w:autoSpaceDN w:val="0"/>
        <w:adjustRightInd w:val="0"/>
        <w:spacing w:after="0" w:line="360" w:lineRule="auto"/>
        <w:rPr>
          <w:rFonts w:ascii="Century Gothic" w:hAnsi="Century Gothic" w:cs="CenturyGothic"/>
          <w:color w:val="000000"/>
        </w:rPr>
      </w:pPr>
      <w:r>
        <w:rPr>
          <w:rFonts w:ascii="Century Gothic" w:hAnsi="Century Gothic" w:cs="CenturyGothic"/>
          <w:color w:val="000000"/>
        </w:rPr>
        <w:t xml:space="preserve">Support is </w:t>
      </w:r>
      <w:r>
        <w:rPr>
          <w:rFonts w:ascii="Century Gothic" w:hAnsi="Century Gothic" w:cs="CenturyGothic-Bold"/>
          <w:b/>
          <w:bCs/>
          <w:color w:val="000000"/>
        </w:rPr>
        <w:t xml:space="preserve">planned and reviewed </w:t>
      </w:r>
      <w:r>
        <w:rPr>
          <w:rFonts w:ascii="Century Gothic" w:hAnsi="Century Gothic" w:cs="CenturyGothic"/>
          <w:color w:val="000000"/>
        </w:rPr>
        <w:t>by the class teacher and in collaboration with parents and the learner, at least three times a year.</w:t>
      </w:r>
    </w:p>
    <w:p>
      <w:pPr>
        <w:autoSpaceDE w:val="0"/>
        <w:autoSpaceDN w:val="0"/>
        <w:adjustRightInd w:val="0"/>
        <w:spacing w:after="0" w:line="360" w:lineRule="auto"/>
        <w:rPr>
          <w:rFonts w:ascii="Century Gothic" w:hAnsi="Century Gothic" w:cs="CenturyGothic"/>
          <w:color w:val="000000"/>
        </w:rPr>
      </w:pPr>
    </w:p>
    <w:p>
      <w:pPr>
        <w:autoSpaceDE w:val="0"/>
        <w:autoSpaceDN w:val="0"/>
        <w:adjustRightInd w:val="0"/>
        <w:rPr>
          <w:rFonts w:ascii="Comic Sans MS" w:hAnsi="Comic Sans MS" w:cs="Comic Sans MS"/>
          <w:b/>
        </w:rPr>
      </w:pPr>
      <w:r>
        <w:rPr>
          <w:rFonts w:ascii="Century Gothic" w:hAnsi="Century Gothic" w:cs="CenturyGothic"/>
          <w:color w:val="000000"/>
        </w:rPr>
        <w:t>A provision map is produced and evaluated annually, which outlines the small group interventions available for learners with SEN. Interventions are time limited, pre-formulated and are carefully matched to learners’ needs so that they can be used by trained staff with minimal adaptation.</w:t>
      </w:r>
      <w:r>
        <w:rPr>
          <w:rFonts w:ascii="Comic Sans MS" w:hAnsi="Comic Sans MS" w:cs="Comic Sans MS"/>
          <w:b/>
        </w:rPr>
        <w:t xml:space="preserve"> </w:t>
      </w:r>
    </w:p>
    <w:p>
      <w:pPr>
        <w:autoSpaceDE w:val="0"/>
        <w:autoSpaceDN w:val="0"/>
        <w:adjustRightInd w:val="0"/>
        <w:spacing w:after="0" w:line="360" w:lineRule="auto"/>
        <w:rPr>
          <w:rFonts w:ascii="Century Gothic" w:hAnsi="Century Gothic" w:cs="CenturyGothic"/>
          <w:color w:val="000000"/>
        </w:rPr>
      </w:pPr>
    </w:p>
    <w:p>
      <w:pPr>
        <w:autoSpaceDE w:val="0"/>
        <w:autoSpaceDN w:val="0"/>
        <w:adjustRightInd w:val="0"/>
        <w:spacing w:after="0" w:line="360" w:lineRule="auto"/>
        <w:rPr>
          <w:rFonts w:ascii="Century Gothic" w:hAnsi="Century Gothic" w:cs="CenturyGothic-Bold"/>
          <w:b/>
          <w:bCs/>
          <w:color w:val="000000"/>
        </w:rPr>
      </w:pPr>
      <w:r>
        <w:rPr>
          <w:rFonts w:ascii="Century Gothic" w:hAnsi="Century Gothic" w:cs="CenturyGothic-Bold"/>
          <w:b/>
          <w:bCs/>
          <w:color w:val="000000"/>
        </w:rPr>
        <w:t>3) Progress made by pupils with SEND: Guidance from Ofsted's School Inspection Handbook</w:t>
      </w:r>
    </w:p>
    <w:p>
      <w:pPr>
        <w:autoSpaceDE w:val="0"/>
        <w:autoSpaceDN w:val="0"/>
        <w:adjustRightInd w:val="0"/>
        <w:spacing w:after="0" w:line="360" w:lineRule="auto"/>
        <w:rPr>
          <w:rFonts w:ascii="Century Gothic" w:hAnsi="Century Gothic" w:cs="CenturyGothic-Bold"/>
          <w:b/>
          <w:bCs/>
          <w:color w:val="000000"/>
        </w:rPr>
      </w:pPr>
    </w:p>
    <w:p>
      <w:pPr>
        <w:autoSpaceDE w:val="0"/>
        <w:autoSpaceDN w:val="0"/>
        <w:adjustRightInd w:val="0"/>
        <w:spacing w:after="0" w:line="360" w:lineRule="auto"/>
        <w:rPr>
          <w:rFonts w:ascii="Century Gothic" w:hAnsi="Century Gothic" w:cs="CenturyGothic-Bold"/>
          <w:b/>
          <w:bCs/>
          <w:color w:val="000000"/>
        </w:rPr>
      </w:pPr>
      <w:r>
        <w:rPr>
          <w:rFonts w:ascii="Century Gothic" w:hAnsi="Century Gothic" w:cs="CenturyGothic-Bold"/>
          <w:b/>
          <w:bCs/>
          <w:color w:val="000000"/>
        </w:rPr>
        <w:t>‘Inspectors should evaluate progress based on the pupil’s starting point at particular ages.’</w:t>
      </w:r>
    </w:p>
    <w:p>
      <w:pPr>
        <w:autoSpaceDE w:val="0"/>
        <w:autoSpaceDN w:val="0"/>
        <w:adjustRightInd w:val="0"/>
        <w:spacing w:after="0" w:line="360" w:lineRule="auto"/>
        <w:rPr>
          <w:rFonts w:ascii="Century Gothic" w:hAnsi="Century Gothic" w:cs="CenturyGothic"/>
          <w:color w:val="000000"/>
        </w:rPr>
      </w:pPr>
      <w:r>
        <w:rPr>
          <w:rFonts w:ascii="Century Gothic" w:hAnsi="Century Gothic" w:cs="CenturyGothic"/>
          <w:color w:val="000000"/>
        </w:rPr>
        <w:t>Paragraphs 199-206 of Ofsted's current School Inspection Handbook set out how inspectors will assess the achievement of pupils with special educational needs (SEN) or disabilities. Paragraph 201 explains that inspectors should evaluate progress based on the pupil's starting point at particular ages, and the school's assessment measures.  Additionally, paragraph 198 says that with respect to pupils who are unlikely to rise above 'low' attainment: Evaluations should not take account of their attainment compared with national benchmarks.</w:t>
      </w:r>
    </w:p>
    <w:p>
      <w:pPr>
        <w:autoSpaceDE w:val="0"/>
        <w:autoSpaceDN w:val="0"/>
        <w:adjustRightInd w:val="0"/>
        <w:spacing w:after="0" w:line="360" w:lineRule="auto"/>
        <w:rPr>
          <w:rFonts w:ascii="Century Gothic" w:hAnsi="Century Gothic" w:cs="CenturyGothic"/>
          <w:color w:val="000000"/>
        </w:rPr>
      </w:pPr>
    </w:p>
    <w:p>
      <w:pPr>
        <w:tabs>
          <w:tab w:val="left" w:pos="8280"/>
        </w:tabs>
        <w:autoSpaceDE w:val="0"/>
        <w:autoSpaceDN w:val="0"/>
        <w:adjustRightInd w:val="0"/>
        <w:spacing w:after="0" w:line="360" w:lineRule="auto"/>
        <w:rPr>
          <w:rFonts w:ascii="Century Gothic" w:hAnsi="Century Gothic" w:cs="CenturyGothic-Bold"/>
          <w:b/>
          <w:bCs/>
          <w:color w:val="000000"/>
        </w:rPr>
      </w:pPr>
      <w:r>
        <w:rPr>
          <w:rFonts w:ascii="Century Gothic" w:hAnsi="Century Gothic" w:cs="CenturyGothic-Bold"/>
          <w:b/>
          <w:bCs/>
          <w:color w:val="000000"/>
        </w:rPr>
        <w:t xml:space="preserve">Progress of pupils with SEN </w:t>
      </w:r>
      <w:proofErr w:type="gramStart"/>
      <w:r>
        <w:rPr>
          <w:rFonts w:ascii="Century Gothic" w:hAnsi="Century Gothic" w:cs="CenturyGothic-Bold"/>
          <w:b/>
          <w:bCs/>
          <w:color w:val="000000"/>
        </w:rPr>
        <w:t>Against</w:t>
      </w:r>
      <w:proofErr w:type="gramEnd"/>
      <w:r>
        <w:rPr>
          <w:rFonts w:ascii="Century Gothic" w:hAnsi="Century Gothic" w:cs="CenturyGothic-Bold"/>
          <w:b/>
          <w:bCs/>
          <w:color w:val="000000"/>
        </w:rPr>
        <w:t xml:space="preserve"> National Expectations (Summer 2019)</w:t>
      </w:r>
      <w:r>
        <w:rPr>
          <w:rFonts w:ascii="Century Gothic" w:hAnsi="Century Gothic" w:cs="CenturyGothic-Bold"/>
          <w:b/>
          <w:bCs/>
          <w:color w:val="000000"/>
        </w:rPr>
        <w:tab/>
      </w:r>
    </w:p>
    <w:p>
      <w:pPr>
        <w:tabs>
          <w:tab w:val="left" w:pos="8280"/>
        </w:tabs>
        <w:autoSpaceDE w:val="0"/>
        <w:autoSpaceDN w:val="0"/>
        <w:adjustRightInd w:val="0"/>
        <w:spacing w:after="0" w:line="360" w:lineRule="auto"/>
        <w:rPr>
          <w:rFonts w:ascii="Century Gothic" w:hAnsi="Century Gothic" w:cs="CenturyGothic-Bold"/>
          <w:b/>
          <w:bCs/>
          <w:color w:val="000000"/>
        </w:rPr>
      </w:pPr>
      <w:r>
        <w:rPr>
          <w:rFonts w:ascii="Century Gothic" w:hAnsi="Century Gothic" w:cs="CenturyGothic-Bold"/>
          <w:b/>
          <w:bCs/>
          <w:color w:val="000000"/>
        </w:rPr>
        <w:t>Reading</w:t>
      </w:r>
    </w:p>
    <w:p>
      <w:pPr>
        <w:autoSpaceDE w:val="0"/>
        <w:autoSpaceDN w:val="0"/>
        <w:adjustRightInd w:val="0"/>
        <w:spacing w:after="0" w:line="360" w:lineRule="auto"/>
        <w:rPr>
          <w:rFonts w:ascii="Century Gothic" w:hAnsi="Century Gothic" w:cs="CenturyGothic-Bold"/>
          <w:b/>
          <w:bCs/>
          <w:color w:val="000000"/>
        </w:rPr>
      </w:pPr>
      <w:r>
        <w:rPr>
          <w:noProof/>
        </w:rPr>
        <w:drawing>
          <wp:inline distT="0" distB="0" distL="0" distR="0">
            <wp:extent cx="5731510" cy="1840084"/>
            <wp:effectExtent l="0" t="0" r="2540" b="825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
                    <a:stretch>
                      <a:fillRect/>
                    </a:stretch>
                  </pic:blipFill>
                  <pic:spPr>
                    <a:xfrm>
                      <a:off x="0" y="0"/>
                      <a:ext cx="5731510" cy="1840084"/>
                    </a:xfrm>
                    <a:prstGeom prst="rect">
                      <a:avLst/>
                    </a:prstGeom>
                  </pic:spPr>
                </pic:pic>
              </a:graphicData>
            </a:graphic>
          </wp:inline>
        </w:drawing>
      </w:r>
    </w:p>
    <w:p>
      <w:pPr>
        <w:autoSpaceDE w:val="0"/>
        <w:autoSpaceDN w:val="0"/>
        <w:adjustRightInd w:val="0"/>
        <w:spacing w:after="0" w:line="360" w:lineRule="auto"/>
        <w:rPr>
          <w:rFonts w:ascii="Century Gothic" w:hAnsi="Century Gothic" w:cs="CenturyGothic-Bold"/>
          <w:b/>
          <w:bCs/>
          <w:color w:val="000000"/>
        </w:rPr>
      </w:pPr>
    </w:p>
    <w:p>
      <w:pPr>
        <w:autoSpaceDE w:val="0"/>
        <w:autoSpaceDN w:val="0"/>
        <w:adjustRightInd w:val="0"/>
        <w:spacing w:after="0" w:line="360" w:lineRule="auto"/>
        <w:rPr>
          <w:rFonts w:ascii="Century Gothic" w:hAnsi="Century Gothic" w:cs="CenturyGothic-Bold"/>
          <w:b/>
          <w:bCs/>
          <w:color w:val="000000"/>
        </w:rPr>
      </w:pPr>
    </w:p>
    <w:p>
      <w:pPr>
        <w:autoSpaceDE w:val="0"/>
        <w:autoSpaceDN w:val="0"/>
        <w:adjustRightInd w:val="0"/>
        <w:spacing w:after="0" w:line="360" w:lineRule="auto"/>
        <w:rPr>
          <w:rFonts w:ascii="Century Gothic" w:hAnsi="Century Gothic" w:cs="CenturyGothic-Bold"/>
          <w:b/>
          <w:bCs/>
          <w:color w:val="000000"/>
        </w:rPr>
      </w:pPr>
    </w:p>
    <w:p>
      <w:pPr>
        <w:autoSpaceDE w:val="0"/>
        <w:autoSpaceDN w:val="0"/>
        <w:adjustRightInd w:val="0"/>
        <w:spacing w:after="0" w:line="360" w:lineRule="auto"/>
        <w:rPr>
          <w:rFonts w:ascii="Century Gothic" w:hAnsi="Century Gothic" w:cs="CenturyGothic-Bold"/>
          <w:b/>
          <w:bCs/>
          <w:color w:val="000000"/>
        </w:rPr>
      </w:pPr>
      <w:r>
        <w:rPr>
          <w:rFonts w:ascii="Century Gothic" w:hAnsi="Century Gothic" w:cs="CenturyGothic-Bold"/>
          <w:b/>
          <w:bCs/>
          <w:color w:val="000000"/>
        </w:rPr>
        <w:lastRenderedPageBreak/>
        <w:t>Writing</w:t>
      </w:r>
    </w:p>
    <w:p>
      <w:pPr>
        <w:autoSpaceDE w:val="0"/>
        <w:autoSpaceDN w:val="0"/>
        <w:adjustRightInd w:val="0"/>
        <w:spacing w:after="0" w:line="360" w:lineRule="auto"/>
        <w:rPr>
          <w:rFonts w:ascii="Century Gothic" w:hAnsi="Century Gothic" w:cs="CenturyGothic-Bold"/>
          <w:b/>
          <w:bCs/>
          <w:color w:val="000000"/>
        </w:rPr>
      </w:pPr>
      <w:r>
        <w:rPr>
          <w:noProof/>
        </w:rPr>
        <w:drawing>
          <wp:inline distT="0" distB="0" distL="0" distR="0">
            <wp:extent cx="5731510" cy="1830899"/>
            <wp:effectExtent l="0" t="0" r="254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
                    <a:stretch>
                      <a:fillRect/>
                    </a:stretch>
                  </pic:blipFill>
                  <pic:spPr>
                    <a:xfrm>
                      <a:off x="0" y="0"/>
                      <a:ext cx="5731510" cy="1830899"/>
                    </a:xfrm>
                    <a:prstGeom prst="rect">
                      <a:avLst/>
                    </a:prstGeom>
                  </pic:spPr>
                </pic:pic>
              </a:graphicData>
            </a:graphic>
          </wp:inline>
        </w:drawing>
      </w:r>
    </w:p>
    <w:p>
      <w:pPr>
        <w:autoSpaceDE w:val="0"/>
        <w:autoSpaceDN w:val="0"/>
        <w:adjustRightInd w:val="0"/>
        <w:spacing w:after="0" w:line="360" w:lineRule="auto"/>
        <w:rPr>
          <w:rFonts w:ascii="Century Gothic" w:hAnsi="Century Gothic" w:cs="CenturyGothic-Bold"/>
          <w:b/>
          <w:bCs/>
          <w:color w:val="000000"/>
        </w:rPr>
      </w:pPr>
    </w:p>
    <w:p>
      <w:pPr>
        <w:autoSpaceDE w:val="0"/>
        <w:autoSpaceDN w:val="0"/>
        <w:adjustRightInd w:val="0"/>
        <w:spacing w:after="0" w:line="360" w:lineRule="auto"/>
        <w:rPr>
          <w:rFonts w:ascii="Century Gothic" w:hAnsi="Century Gothic" w:cs="CenturyGothic-Bold"/>
          <w:b/>
          <w:bCs/>
          <w:color w:val="000000"/>
        </w:rPr>
      </w:pPr>
      <w:r>
        <w:rPr>
          <w:rFonts w:ascii="Century Gothic" w:hAnsi="Century Gothic" w:cs="CenturyGothic-Bold"/>
          <w:b/>
          <w:bCs/>
          <w:color w:val="000000"/>
        </w:rPr>
        <w:t>Maths</w:t>
      </w:r>
    </w:p>
    <w:p>
      <w:pPr>
        <w:autoSpaceDE w:val="0"/>
        <w:autoSpaceDN w:val="0"/>
        <w:adjustRightInd w:val="0"/>
        <w:spacing w:after="0" w:line="360" w:lineRule="auto"/>
        <w:rPr>
          <w:rFonts w:ascii="Century Gothic" w:hAnsi="Century Gothic" w:cs="CenturyGothic-Bold"/>
          <w:b/>
          <w:bCs/>
          <w:color w:val="000000"/>
        </w:rPr>
      </w:pPr>
      <w:r>
        <w:rPr>
          <w:noProof/>
        </w:rPr>
        <w:drawing>
          <wp:inline distT="0" distB="0" distL="0" distR="0">
            <wp:extent cx="5731510" cy="1816815"/>
            <wp:effectExtent l="0" t="0" r="254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stretch>
                      <a:fillRect/>
                    </a:stretch>
                  </pic:blipFill>
                  <pic:spPr>
                    <a:xfrm>
                      <a:off x="0" y="0"/>
                      <a:ext cx="5731510" cy="1816815"/>
                    </a:xfrm>
                    <a:prstGeom prst="rect">
                      <a:avLst/>
                    </a:prstGeom>
                  </pic:spPr>
                </pic:pic>
              </a:graphicData>
            </a:graphic>
          </wp:inline>
        </w:drawing>
      </w:r>
    </w:p>
    <w:p>
      <w:pPr>
        <w:autoSpaceDE w:val="0"/>
        <w:autoSpaceDN w:val="0"/>
        <w:adjustRightInd w:val="0"/>
        <w:spacing w:after="0" w:line="360" w:lineRule="auto"/>
        <w:rPr>
          <w:rFonts w:ascii="Century Gothic" w:hAnsi="Century Gothic" w:cs="CenturyGothic-Bold"/>
          <w:b/>
          <w:bCs/>
          <w:color w:val="000000"/>
        </w:rPr>
      </w:pPr>
    </w:p>
    <w:p>
      <w:pPr>
        <w:autoSpaceDE w:val="0"/>
        <w:autoSpaceDN w:val="0"/>
        <w:adjustRightInd w:val="0"/>
        <w:spacing w:after="0" w:line="360" w:lineRule="auto"/>
        <w:rPr>
          <w:rFonts w:ascii="Century Gothic" w:hAnsi="Century Gothic" w:cs="CenturyGothic"/>
          <w:color w:val="000000"/>
        </w:rPr>
      </w:pPr>
      <w:r>
        <w:rPr>
          <w:rFonts w:ascii="Century Gothic" w:hAnsi="Century Gothic" w:cs="CenturyGothic"/>
          <w:color w:val="000000"/>
        </w:rPr>
        <w:t>During the termly monitoring of children’s progress, learners’ needs are reviewed and appropriate provision is planned and implemented. This may involve interventions such as withdrawal from class for short 1 to 1 sessions, additional support within the class and/or early involvement of the Educational Psychologist and/ or other Outside Agencies, such as the Speech and Language Therapist, Play Therapist, Occupational Therapist or the Communication and Interaction service.</w:t>
      </w:r>
    </w:p>
    <w:p>
      <w:pPr>
        <w:autoSpaceDE w:val="0"/>
        <w:autoSpaceDN w:val="0"/>
        <w:adjustRightInd w:val="0"/>
        <w:spacing w:after="0" w:line="360" w:lineRule="auto"/>
        <w:rPr>
          <w:rFonts w:ascii="Century Gothic" w:hAnsi="Century Gothic" w:cs="CenturyGothic"/>
          <w:color w:val="000000"/>
        </w:rPr>
      </w:pPr>
    </w:p>
    <w:p>
      <w:pPr>
        <w:autoSpaceDE w:val="0"/>
        <w:autoSpaceDN w:val="0"/>
        <w:adjustRightInd w:val="0"/>
        <w:spacing w:after="0" w:line="360" w:lineRule="auto"/>
        <w:rPr>
          <w:rFonts w:ascii="Century Gothic" w:hAnsi="Century Gothic" w:cs="CenturyGothic"/>
          <w:color w:val="000000"/>
        </w:rPr>
      </w:pPr>
      <w:r>
        <w:rPr>
          <w:rFonts w:ascii="Century Gothic" w:hAnsi="Century Gothic" w:cs="CenturyGothic"/>
          <w:color w:val="000000"/>
        </w:rPr>
        <w:t xml:space="preserve">Provision for Literacy may include: Reading Recovery, Adapted Phonics, Toe-by-Toe, </w:t>
      </w:r>
      <w:proofErr w:type="spellStart"/>
      <w:r>
        <w:rPr>
          <w:rFonts w:ascii="Century Gothic" w:hAnsi="Century Gothic" w:cs="CenturyGothic"/>
          <w:color w:val="000000"/>
        </w:rPr>
        <w:t>Nessy</w:t>
      </w:r>
      <w:proofErr w:type="spellEnd"/>
      <w:r>
        <w:rPr>
          <w:rFonts w:ascii="Century Gothic" w:hAnsi="Century Gothic" w:cs="CenturyGothic"/>
          <w:color w:val="000000"/>
        </w:rPr>
        <w:t>, Word Shark and other Wave 3 Literacy interventions such as Precision Teaching and Beat Dyslexia.</w:t>
      </w:r>
    </w:p>
    <w:p>
      <w:pPr>
        <w:autoSpaceDE w:val="0"/>
        <w:autoSpaceDN w:val="0"/>
        <w:adjustRightInd w:val="0"/>
        <w:spacing w:after="0" w:line="360" w:lineRule="auto"/>
        <w:rPr>
          <w:rFonts w:ascii="Century Gothic" w:hAnsi="Century Gothic" w:cs="CenturyGothic"/>
          <w:color w:val="000000"/>
        </w:rPr>
      </w:pPr>
    </w:p>
    <w:p>
      <w:pPr>
        <w:autoSpaceDE w:val="0"/>
        <w:autoSpaceDN w:val="0"/>
        <w:adjustRightInd w:val="0"/>
        <w:spacing w:after="0" w:line="360" w:lineRule="auto"/>
        <w:rPr>
          <w:rFonts w:ascii="Century Gothic" w:hAnsi="Century Gothic" w:cs="CenturyGothic"/>
          <w:color w:val="000000"/>
        </w:rPr>
      </w:pPr>
      <w:r>
        <w:rPr>
          <w:rFonts w:ascii="Century Gothic" w:hAnsi="Century Gothic" w:cs="CenturyGothic"/>
          <w:color w:val="000000"/>
        </w:rPr>
        <w:t>Provision for Maths may include Numicon, Every Child Counts, Number Shark and other Wave 3, Maths interventions.</w:t>
      </w:r>
    </w:p>
    <w:p>
      <w:pPr>
        <w:autoSpaceDE w:val="0"/>
        <w:autoSpaceDN w:val="0"/>
        <w:adjustRightInd w:val="0"/>
        <w:spacing w:after="0" w:line="360" w:lineRule="auto"/>
        <w:rPr>
          <w:rFonts w:ascii="Century Gothic" w:hAnsi="Century Gothic" w:cs="CenturyGothic"/>
          <w:color w:val="000000"/>
        </w:rPr>
      </w:pPr>
    </w:p>
    <w:p>
      <w:pPr>
        <w:autoSpaceDE w:val="0"/>
        <w:autoSpaceDN w:val="0"/>
        <w:adjustRightInd w:val="0"/>
        <w:spacing w:after="0" w:line="360" w:lineRule="auto"/>
        <w:rPr>
          <w:rFonts w:ascii="Century Gothic" w:hAnsi="Century Gothic" w:cs="CenturyGothic"/>
          <w:color w:val="000000"/>
        </w:rPr>
      </w:pPr>
      <w:r>
        <w:rPr>
          <w:rFonts w:ascii="Century Gothic" w:hAnsi="Century Gothic" w:cs="CenturyGothic"/>
          <w:color w:val="000000"/>
        </w:rPr>
        <w:lastRenderedPageBreak/>
        <w:t>The new tracking system makes it much easier to drill down into children’s gaps in understanding and quickly identify barriers to learning. This then enables teachers to plan lessons and interventions that enable accelerated learning to take place.</w:t>
      </w:r>
    </w:p>
    <w:p>
      <w:pPr>
        <w:autoSpaceDE w:val="0"/>
        <w:autoSpaceDN w:val="0"/>
        <w:adjustRightInd w:val="0"/>
        <w:spacing w:after="0" w:line="360" w:lineRule="auto"/>
        <w:rPr>
          <w:rFonts w:ascii="Century Gothic" w:hAnsi="Century Gothic" w:cs="CenturyGothic-Bold"/>
          <w:b/>
          <w:bCs/>
          <w:color w:val="000000"/>
        </w:rPr>
      </w:pPr>
    </w:p>
    <w:p>
      <w:pPr>
        <w:autoSpaceDE w:val="0"/>
        <w:autoSpaceDN w:val="0"/>
        <w:adjustRightInd w:val="0"/>
        <w:spacing w:after="0" w:line="360" w:lineRule="auto"/>
        <w:rPr>
          <w:rFonts w:ascii="Century Gothic" w:hAnsi="Century Gothic" w:cs="CenturyGothic-Bold"/>
          <w:b/>
          <w:bCs/>
          <w:color w:val="000000"/>
        </w:rPr>
      </w:pPr>
      <w:r>
        <w:rPr>
          <w:rFonts w:ascii="Century Gothic" w:hAnsi="Century Gothic" w:cs="CenturyGothic-Bold"/>
          <w:b/>
          <w:bCs/>
          <w:color w:val="000000"/>
        </w:rPr>
        <w:t>4) Funding</w:t>
      </w:r>
    </w:p>
    <w:p>
      <w:pPr>
        <w:autoSpaceDE w:val="0"/>
        <w:autoSpaceDN w:val="0"/>
        <w:adjustRightInd w:val="0"/>
        <w:spacing w:after="0" w:line="360" w:lineRule="auto"/>
        <w:rPr>
          <w:rFonts w:ascii="Century Gothic" w:hAnsi="Century Gothic" w:cs="CenturyGothic-Bold"/>
          <w:b/>
          <w:bCs/>
          <w:color w:val="000000"/>
        </w:rPr>
      </w:pPr>
    </w:p>
    <w:tbl>
      <w:tblPr>
        <w:tblStyle w:val="TableGrid"/>
        <w:tblW w:w="0" w:type="auto"/>
        <w:tblLook w:val="04A0" w:firstRow="1" w:lastRow="0" w:firstColumn="1" w:lastColumn="0" w:noHBand="0" w:noVBand="1"/>
      </w:tblPr>
      <w:tblGrid>
        <w:gridCol w:w="3633"/>
        <w:gridCol w:w="2781"/>
        <w:gridCol w:w="2602"/>
      </w:tblGrid>
      <w:tr>
        <w:tc>
          <w:tcPr>
            <w:tcW w:w="3697" w:type="dxa"/>
            <w:shd w:val="clear" w:color="auto" w:fill="EEECE1" w:themeFill="background2"/>
          </w:tcPr>
          <w:p>
            <w:pPr>
              <w:autoSpaceDE w:val="0"/>
              <w:autoSpaceDN w:val="0"/>
              <w:adjustRightInd w:val="0"/>
              <w:spacing w:line="360" w:lineRule="auto"/>
              <w:jc w:val="center"/>
              <w:rPr>
                <w:rFonts w:ascii="Century Gothic" w:hAnsi="Century Gothic" w:cs="CenturyGothic-Bold"/>
                <w:b/>
                <w:bCs/>
                <w:color w:val="000000"/>
              </w:rPr>
            </w:pPr>
            <w:r>
              <w:rPr>
                <w:rFonts w:ascii="Century Gothic" w:hAnsi="Century Gothic" w:cs="CenturyGothic-Bold"/>
                <w:b/>
                <w:bCs/>
                <w:color w:val="000000"/>
              </w:rPr>
              <w:t>SEN Funding</w:t>
            </w:r>
          </w:p>
        </w:tc>
        <w:tc>
          <w:tcPr>
            <w:tcW w:w="2877" w:type="dxa"/>
            <w:shd w:val="clear" w:color="auto" w:fill="EEECE1" w:themeFill="background2"/>
          </w:tcPr>
          <w:p>
            <w:pPr>
              <w:autoSpaceDE w:val="0"/>
              <w:autoSpaceDN w:val="0"/>
              <w:adjustRightInd w:val="0"/>
              <w:spacing w:line="360" w:lineRule="auto"/>
              <w:jc w:val="center"/>
              <w:rPr>
                <w:rFonts w:ascii="Century Gothic" w:hAnsi="Century Gothic" w:cs="CenturyGothic-Bold"/>
                <w:b/>
                <w:bCs/>
                <w:color w:val="000000"/>
              </w:rPr>
            </w:pPr>
            <w:r>
              <w:rPr>
                <w:rFonts w:ascii="Century Gothic" w:hAnsi="Century Gothic" w:cs="CenturyGothic-Bold"/>
                <w:b/>
                <w:bCs/>
                <w:color w:val="000000"/>
              </w:rPr>
              <w:t>Cost</w:t>
            </w:r>
          </w:p>
        </w:tc>
        <w:tc>
          <w:tcPr>
            <w:tcW w:w="2668" w:type="dxa"/>
            <w:shd w:val="clear" w:color="auto" w:fill="EEECE1" w:themeFill="background2"/>
          </w:tcPr>
          <w:p>
            <w:pPr>
              <w:autoSpaceDE w:val="0"/>
              <w:autoSpaceDN w:val="0"/>
              <w:adjustRightInd w:val="0"/>
              <w:spacing w:line="360" w:lineRule="auto"/>
              <w:jc w:val="center"/>
              <w:rPr>
                <w:rFonts w:ascii="Century Gothic" w:hAnsi="Century Gothic" w:cs="CenturyGothic-Bold"/>
                <w:b/>
                <w:bCs/>
                <w:color w:val="000000"/>
              </w:rPr>
            </w:pPr>
            <w:r>
              <w:rPr>
                <w:rFonts w:ascii="Century Gothic" w:hAnsi="Century Gothic" w:cs="CenturyGothic-Bold"/>
                <w:b/>
                <w:bCs/>
                <w:color w:val="000000"/>
              </w:rPr>
              <w:t>Expenditure Code</w:t>
            </w:r>
          </w:p>
        </w:tc>
      </w:tr>
      <w:tr>
        <w:tc>
          <w:tcPr>
            <w:tcW w:w="3697" w:type="dxa"/>
          </w:tcPr>
          <w:p>
            <w:pPr>
              <w:autoSpaceDE w:val="0"/>
              <w:autoSpaceDN w:val="0"/>
              <w:adjustRightInd w:val="0"/>
              <w:spacing w:line="360" w:lineRule="auto"/>
              <w:rPr>
                <w:rFonts w:ascii="Century Gothic" w:hAnsi="Century Gothic" w:cs="CenturyGothic-Bold"/>
                <w:b/>
                <w:bCs/>
                <w:color w:val="000000"/>
              </w:rPr>
            </w:pPr>
            <w:r>
              <w:rPr>
                <w:rFonts w:ascii="Century Gothic" w:hAnsi="Century Gothic" w:cs="CenturyGothic-Bold"/>
                <w:b/>
                <w:bCs/>
                <w:color w:val="000000"/>
              </w:rPr>
              <w:t>Pay roll costs( TA’s  Only)</w:t>
            </w:r>
          </w:p>
        </w:tc>
        <w:tc>
          <w:tcPr>
            <w:tcW w:w="2877" w:type="dxa"/>
          </w:tcPr>
          <w:p>
            <w:pPr>
              <w:autoSpaceDE w:val="0"/>
              <w:autoSpaceDN w:val="0"/>
              <w:adjustRightInd w:val="0"/>
              <w:spacing w:line="360" w:lineRule="auto"/>
              <w:rPr>
                <w:rFonts w:ascii="Century Gothic" w:hAnsi="Century Gothic"/>
                <w:b/>
              </w:rPr>
            </w:pPr>
            <w:r>
              <w:rPr>
                <w:rFonts w:ascii="Century Gothic" w:hAnsi="Century Gothic"/>
                <w:b/>
              </w:rPr>
              <w:t>£740.00</w:t>
            </w:r>
          </w:p>
          <w:p>
            <w:pPr>
              <w:autoSpaceDE w:val="0"/>
              <w:autoSpaceDN w:val="0"/>
              <w:adjustRightInd w:val="0"/>
              <w:spacing w:line="360" w:lineRule="auto"/>
              <w:rPr>
                <w:rFonts w:ascii="Century Gothic" w:hAnsi="Century Gothic" w:cs="CenturyGothic-Bold"/>
                <w:b/>
                <w:bCs/>
                <w:color w:val="000000"/>
              </w:rPr>
            </w:pPr>
          </w:p>
        </w:tc>
        <w:tc>
          <w:tcPr>
            <w:tcW w:w="2668" w:type="dxa"/>
          </w:tcPr>
          <w:p>
            <w:pPr>
              <w:autoSpaceDE w:val="0"/>
              <w:autoSpaceDN w:val="0"/>
              <w:adjustRightInd w:val="0"/>
              <w:spacing w:line="360" w:lineRule="auto"/>
              <w:rPr>
                <w:rFonts w:ascii="Century Gothic" w:hAnsi="Century Gothic" w:cs="CenturyGothic-Bold"/>
                <w:b/>
                <w:bCs/>
                <w:color w:val="000000"/>
              </w:rPr>
            </w:pPr>
            <w:r>
              <w:rPr>
                <w:rFonts w:ascii="Century Gothic" w:hAnsi="Century Gothic" w:cs="CenturyGothic-Bold"/>
                <w:b/>
                <w:bCs/>
                <w:color w:val="000000"/>
              </w:rPr>
              <w:t>E03</w:t>
            </w:r>
          </w:p>
        </w:tc>
      </w:tr>
      <w:tr>
        <w:tc>
          <w:tcPr>
            <w:tcW w:w="3697" w:type="dxa"/>
          </w:tcPr>
          <w:p>
            <w:pPr>
              <w:autoSpaceDE w:val="0"/>
              <w:autoSpaceDN w:val="0"/>
              <w:adjustRightInd w:val="0"/>
              <w:spacing w:line="360" w:lineRule="auto"/>
              <w:rPr>
                <w:rFonts w:ascii="Century Gothic" w:hAnsi="Century Gothic" w:cs="CenturyGothic-Bold"/>
                <w:b/>
                <w:bCs/>
                <w:color w:val="000000"/>
              </w:rPr>
            </w:pPr>
            <w:r>
              <w:rPr>
                <w:rFonts w:ascii="Century Gothic" w:hAnsi="Century Gothic" w:cs="CenturyGothic-Bold"/>
                <w:b/>
                <w:bCs/>
                <w:color w:val="000000"/>
              </w:rPr>
              <w:t>Equipment/Resources</w:t>
            </w:r>
          </w:p>
        </w:tc>
        <w:tc>
          <w:tcPr>
            <w:tcW w:w="2877" w:type="dxa"/>
          </w:tcPr>
          <w:p>
            <w:pPr>
              <w:autoSpaceDE w:val="0"/>
              <w:autoSpaceDN w:val="0"/>
              <w:adjustRightInd w:val="0"/>
              <w:spacing w:line="360" w:lineRule="auto"/>
              <w:rPr>
                <w:rFonts w:ascii="Century Gothic" w:hAnsi="Century Gothic" w:cs="CenturyGothic-Bold"/>
                <w:b/>
                <w:bCs/>
                <w:color w:val="000000"/>
              </w:rPr>
            </w:pPr>
            <w:r>
              <w:rPr>
                <w:rFonts w:ascii="Century Gothic" w:hAnsi="Century Gothic" w:cs="CenturyGothic-Bold"/>
                <w:b/>
                <w:bCs/>
                <w:color w:val="000000"/>
              </w:rPr>
              <w:t>£282.00</w:t>
            </w:r>
          </w:p>
        </w:tc>
        <w:tc>
          <w:tcPr>
            <w:tcW w:w="2668" w:type="dxa"/>
          </w:tcPr>
          <w:p>
            <w:pPr>
              <w:autoSpaceDE w:val="0"/>
              <w:autoSpaceDN w:val="0"/>
              <w:adjustRightInd w:val="0"/>
              <w:spacing w:line="360" w:lineRule="auto"/>
              <w:rPr>
                <w:rFonts w:ascii="Century Gothic" w:hAnsi="Century Gothic" w:cs="CenturyGothic-Bold"/>
                <w:b/>
                <w:bCs/>
                <w:color w:val="000000"/>
              </w:rPr>
            </w:pPr>
            <w:r>
              <w:rPr>
                <w:rFonts w:ascii="Century Gothic" w:hAnsi="Century Gothic" w:cs="CenturyGothic-Bold"/>
                <w:b/>
                <w:bCs/>
                <w:color w:val="000000"/>
              </w:rPr>
              <w:t>E19</w:t>
            </w:r>
          </w:p>
        </w:tc>
      </w:tr>
      <w:tr>
        <w:tc>
          <w:tcPr>
            <w:tcW w:w="3697" w:type="dxa"/>
          </w:tcPr>
          <w:p>
            <w:pPr>
              <w:autoSpaceDE w:val="0"/>
              <w:autoSpaceDN w:val="0"/>
              <w:adjustRightInd w:val="0"/>
              <w:spacing w:line="360" w:lineRule="auto"/>
              <w:rPr>
                <w:rFonts w:ascii="Century Gothic" w:hAnsi="Century Gothic" w:cs="CenturyGothic-Bold"/>
                <w:b/>
                <w:bCs/>
                <w:color w:val="000000"/>
              </w:rPr>
            </w:pPr>
            <w:r>
              <w:rPr>
                <w:rFonts w:ascii="Century Gothic" w:hAnsi="Century Gothic" w:cs="CenturyGothic-Bold"/>
                <w:b/>
                <w:bCs/>
                <w:color w:val="000000"/>
              </w:rPr>
              <w:t>Education Psychologist Services</w:t>
            </w:r>
          </w:p>
        </w:tc>
        <w:tc>
          <w:tcPr>
            <w:tcW w:w="2877" w:type="dxa"/>
          </w:tcPr>
          <w:p>
            <w:pPr>
              <w:autoSpaceDE w:val="0"/>
              <w:autoSpaceDN w:val="0"/>
              <w:adjustRightInd w:val="0"/>
              <w:spacing w:line="360" w:lineRule="auto"/>
              <w:rPr>
                <w:rFonts w:ascii="Century Gothic" w:hAnsi="Century Gothic" w:cs="CenturyGothic-Bold"/>
                <w:b/>
                <w:bCs/>
                <w:color w:val="000000"/>
              </w:rPr>
            </w:pPr>
            <w:r>
              <w:rPr>
                <w:rFonts w:ascii="Century Gothic" w:hAnsi="Century Gothic" w:cs="CenturyGothic-Bold"/>
                <w:b/>
                <w:bCs/>
                <w:color w:val="000000"/>
              </w:rPr>
              <w:t>£970.00</w:t>
            </w:r>
          </w:p>
        </w:tc>
        <w:tc>
          <w:tcPr>
            <w:tcW w:w="2668" w:type="dxa"/>
          </w:tcPr>
          <w:p>
            <w:pPr>
              <w:autoSpaceDE w:val="0"/>
              <w:autoSpaceDN w:val="0"/>
              <w:adjustRightInd w:val="0"/>
              <w:spacing w:line="360" w:lineRule="auto"/>
              <w:rPr>
                <w:rFonts w:ascii="Century Gothic" w:hAnsi="Century Gothic" w:cs="CenturyGothic-Bold"/>
                <w:b/>
                <w:bCs/>
                <w:color w:val="000000"/>
              </w:rPr>
            </w:pPr>
            <w:r>
              <w:rPr>
                <w:rFonts w:ascii="Century Gothic" w:hAnsi="Century Gothic" w:cs="CenturyGothic-Bold"/>
                <w:b/>
                <w:bCs/>
                <w:color w:val="000000"/>
              </w:rPr>
              <w:t>E27</w:t>
            </w:r>
          </w:p>
        </w:tc>
      </w:tr>
      <w:tr>
        <w:tc>
          <w:tcPr>
            <w:tcW w:w="3697" w:type="dxa"/>
          </w:tcPr>
          <w:p>
            <w:pPr>
              <w:autoSpaceDE w:val="0"/>
              <w:autoSpaceDN w:val="0"/>
              <w:adjustRightInd w:val="0"/>
              <w:spacing w:line="360" w:lineRule="auto"/>
              <w:rPr>
                <w:rFonts w:ascii="Century Gothic" w:hAnsi="Century Gothic" w:cs="CenturyGothic-Bold"/>
                <w:b/>
                <w:bCs/>
                <w:color w:val="000000"/>
              </w:rPr>
            </w:pPr>
            <w:r>
              <w:rPr>
                <w:rFonts w:ascii="Century Gothic" w:hAnsi="Century Gothic" w:cs="CenturyGothic-Bold"/>
                <w:b/>
                <w:bCs/>
                <w:color w:val="000000"/>
              </w:rPr>
              <w:t xml:space="preserve">Staff Training </w:t>
            </w:r>
          </w:p>
        </w:tc>
        <w:tc>
          <w:tcPr>
            <w:tcW w:w="2877" w:type="dxa"/>
          </w:tcPr>
          <w:p>
            <w:pPr>
              <w:autoSpaceDE w:val="0"/>
              <w:autoSpaceDN w:val="0"/>
              <w:adjustRightInd w:val="0"/>
              <w:spacing w:line="360" w:lineRule="auto"/>
              <w:rPr>
                <w:rFonts w:ascii="Century Gothic" w:hAnsi="Century Gothic" w:cs="CenturyGothic-Bold"/>
                <w:b/>
                <w:bCs/>
                <w:color w:val="000000"/>
              </w:rPr>
            </w:pPr>
            <w:r>
              <w:rPr>
                <w:rFonts w:ascii="Century Gothic" w:hAnsi="Century Gothic" w:cs="CenturyGothic-Bold"/>
                <w:b/>
                <w:bCs/>
                <w:color w:val="000000"/>
              </w:rPr>
              <w:t>£450.00</w:t>
            </w:r>
          </w:p>
          <w:p>
            <w:pPr>
              <w:autoSpaceDE w:val="0"/>
              <w:autoSpaceDN w:val="0"/>
              <w:adjustRightInd w:val="0"/>
              <w:spacing w:line="360" w:lineRule="auto"/>
              <w:rPr>
                <w:rFonts w:ascii="Century Gothic" w:hAnsi="Century Gothic" w:cs="CenturyGothic-Bold"/>
                <w:b/>
                <w:bCs/>
                <w:color w:val="000000"/>
              </w:rPr>
            </w:pPr>
          </w:p>
        </w:tc>
        <w:tc>
          <w:tcPr>
            <w:tcW w:w="2668" w:type="dxa"/>
          </w:tcPr>
          <w:p>
            <w:pPr>
              <w:autoSpaceDE w:val="0"/>
              <w:autoSpaceDN w:val="0"/>
              <w:adjustRightInd w:val="0"/>
              <w:spacing w:line="360" w:lineRule="auto"/>
              <w:rPr>
                <w:rFonts w:ascii="Century Gothic" w:hAnsi="Century Gothic" w:cs="CenturyGothic-Bold"/>
                <w:b/>
                <w:bCs/>
                <w:color w:val="000000"/>
              </w:rPr>
            </w:pPr>
            <w:r>
              <w:rPr>
                <w:rFonts w:ascii="Century Gothic" w:hAnsi="Century Gothic" w:cs="CenturyGothic-Bold"/>
                <w:b/>
                <w:bCs/>
                <w:color w:val="000000"/>
              </w:rPr>
              <w:t>E09</w:t>
            </w:r>
          </w:p>
        </w:tc>
      </w:tr>
      <w:tr>
        <w:tc>
          <w:tcPr>
            <w:tcW w:w="3697" w:type="dxa"/>
          </w:tcPr>
          <w:p>
            <w:pPr>
              <w:autoSpaceDE w:val="0"/>
              <w:autoSpaceDN w:val="0"/>
              <w:adjustRightInd w:val="0"/>
              <w:spacing w:line="360" w:lineRule="auto"/>
              <w:rPr>
                <w:rFonts w:ascii="Century Gothic" w:hAnsi="Century Gothic" w:cs="CenturyGothic-Bold"/>
                <w:b/>
                <w:bCs/>
                <w:color w:val="000000"/>
              </w:rPr>
            </w:pPr>
            <w:r>
              <w:rPr>
                <w:rFonts w:ascii="Century Gothic" w:hAnsi="Century Gothic" w:cs="CenturyGothic-Bold"/>
                <w:b/>
                <w:bCs/>
                <w:color w:val="000000"/>
              </w:rPr>
              <w:t>Play Therapy</w:t>
            </w:r>
          </w:p>
        </w:tc>
        <w:tc>
          <w:tcPr>
            <w:tcW w:w="2877" w:type="dxa"/>
          </w:tcPr>
          <w:p>
            <w:pPr>
              <w:autoSpaceDE w:val="0"/>
              <w:autoSpaceDN w:val="0"/>
              <w:adjustRightInd w:val="0"/>
              <w:spacing w:line="360" w:lineRule="auto"/>
              <w:rPr>
                <w:rFonts w:ascii="Century Gothic" w:hAnsi="Century Gothic" w:cs="CenturyGothic-Bold"/>
                <w:b/>
                <w:bCs/>
                <w:color w:val="000000"/>
              </w:rPr>
            </w:pPr>
            <w:r>
              <w:rPr>
                <w:rFonts w:ascii="Century Gothic" w:hAnsi="Century Gothic" w:cs="CenturyGothic-Bold"/>
                <w:b/>
                <w:bCs/>
                <w:color w:val="000000"/>
              </w:rPr>
              <w:t>£1920.00</w:t>
            </w:r>
          </w:p>
        </w:tc>
        <w:tc>
          <w:tcPr>
            <w:tcW w:w="2668" w:type="dxa"/>
          </w:tcPr>
          <w:p>
            <w:pPr>
              <w:autoSpaceDE w:val="0"/>
              <w:autoSpaceDN w:val="0"/>
              <w:adjustRightInd w:val="0"/>
              <w:spacing w:line="360" w:lineRule="auto"/>
              <w:rPr>
                <w:rFonts w:ascii="Century Gothic" w:hAnsi="Century Gothic" w:cs="CenturyGothic-Bold"/>
                <w:b/>
                <w:bCs/>
                <w:color w:val="000000"/>
              </w:rPr>
            </w:pPr>
            <w:r>
              <w:rPr>
                <w:rFonts w:ascii="Century Gothic" w:hAnsi="Century Gothic" w:cs="CenturyGothic-Bold"/>
                <w:b/>
                <w:bCs/>
                <w:color w:val="000000"/>
              </w:rPr>
              <w:t>E27</w:t>
            </w:r>
          </w:p>
        </w:tc>
      </w:tr>
      <w:tr>
        <w:tc>
          <w:tcPr>
            <w:tcW w:w="3697" w:type="dxa"/>
          </w:tcPr>
          <w:p>
            <w:pPr>
              <w:autoSpaceDE w:val="0"/>
              <w:autoSpaceDN w:val="0"/>
              <w:adjustRightInd w:val="0"/>
              <w:spacing w:line="360" w:lineRule="auto"/>
              <w:rPr>
                <w:rFonts w:ascii="Century Gothic" w:hAnsi="Century Gothic" w:cs="CenturyGothic-Bold"/>
                <w:b/>
                <w:bCs/>
                <w:color w:val="000000"/>
              </w:rPr>
            </w:pPr>
            <w:r>
              <w:rPr>
                <w:rFonts w:ascii="Century Gothic" w:hAnsi="Century Gothic" w:cs="CenturyGothic-Bold"/>
                <w:b/>
                <w:bCs/>
                <w:color w:val="000000"/>
              </w:rPr>
              <w:t>Total Expenditure:</w:t>
            </w:r>
          </w:p>
        </w:tc>
        <w:tc>
          <w:tcPr>
            <w:tcW w:w="2877" w:type="dxa"/>
          </w:tcPr>
          <w:p>
            <w:pPr>
              <w:autoSpaceDE w:val="0"/>
              <w:autoSpaceDN w:val="0"/>
              <w:adjustRightInd w:val="0"/>
              <w:spacing w:line="360" w:lineRule="auto"/>
              <w:rPr>
                <w:rFonts w:ascii="Century Gothic" w:hAnsi="Century Gothic" w:cs="CenturyGothic-Bold"/>
                <w:b/>
                <w:bCs/>
                <w:color w:val="000000"/>
              </w:rPr>
            </w:pPr>
            <w:r>
              <w:rPr>
                <w:rFonts w:ascii="Century Gothic" w:hAnsi="Century Gothic" w:cs="CenturyGothic-Bold"/>
                <w:b/>
                <w:bCs/>
                <w:color w:val="000000"/>
              </w:rPr>
              <w:t>£4362.00</w:t>
            </w:r>
          </w:p>
        </w:tc>
        <w:tc>
          <w:tcPr>
            <w:tcW w:w="2668" w:type="dxa"/>
            <w:shd w:val="clear" w:color="auto" w:fill="EEECE1" w:themeFill="background2"/>
          </w:tcPr>
          <w:p>
            <w:pPr>
              <w:autoSpaceDE w:val="0"/>
              <w:autoSpaceDN w:val="0"/>
              <w:adjustRightInd w:val="0"/>
              <w:spacing w:line="360" w:lineRule="auto"/>
              <w:rPr>
                <w:rFonts w:ascii="Century Gothic" w:hAnsi="Century Gothic" w:cs="CenturyGothic-Bold"/>
                <w:b/>
                <w:bCs/>
                <w:color w:val="000000"/>
              </w:rPr>
            </w:pPr>
          </w:p>
        </w:tc>
      </w:tr>
    </w:tbl>
    <w:p>
      <w:pPr>
        <w:autoSpaceDE w:val="0"/>
        <w:autoSpaceDN w:val="0"/>
        <w:adjustRightInd w:val="0"/>
        <w:spacing w:after="0" w:line="360" w:lineRule="auto"/>
        <w:rPr>
          <w:rFonts w:ascii="Century Gothic" w:hAnsi="Century Gothic" w:cs="CenturyGothic-Bold"/>
          <w:b/>
          <w:bCs/>
          <w:color w:val="000000"/>
        </w:rPr>
      </w:pPr>
    </w:p>
    <w:p>
      <w:pPr>
        <w:autoSpaceDE w:val="0"/>
        <w:autoSpaceDN w:val="0"/>
        <w:adjustRightInd w:val="0"/>
        <w:spacing w:after="0" w:line="360" w:lineRule="auto"/>
        <w:rPr>
          <w:rFonts w:ascii="Century Gothic" w:hAnsi="Century Gothic" w:cs="CenturyGothic-Bold"/>
          <w:b/>
          <w:bCs/>
          <w:color w:val="000000"/>
        </w:rPr>
      </w:pPr>
      <w:r>
        <w:rPr>
          <w:rFonts w:ascii="Century Gothic" w:hAnsi="Century Gothic" w:cs="CenturyGothic-Bold"/>
          <w:b/>
          <w:bCs/>
          <w:color w:val="000000"/>
        </w:rPr>
        <w:t>5) Staff development</w:t>
      </w:r>
    </w:p>
    <w:p>
      <w:pPr>
        <w:autoSpaceDE w:val="0"/>
        <w:autoSpaceDN w:val="0"/>
        <w:adjustRightInd w:val="0"/>
        <w:spacing w:after="0" w:line="360" w:lineRule="auto"/>
        <w:rPr>
          <w:rFonts w:ascii="Century Gothic" w:hAnsi="Century Gothic" w:cs="CenturyGothic"/>
          <w:color w:val="000000"/>
        </w:rPr>
      </w:pPr>
      <w:r>
        <w:rPr>
          <w:rFonts w:ascii="Century Gothic" w:hAnsi="Century Gothic" w:cs="CenturyGothic"/>
        </w:rPr>
        <w:t xml:space="preserve">SEND Training for staff began on the first INSET day of the year, when the head teacher and I revised the new Code of Practice, and new processes for identifying SEND, as well as the increased emphasis placed on the delivery of ‘Quality First Teaching.’ There has been the training delivered in partnership with The </w:t>
      </w:r>
      <w:proofErr w:type="spellStart"/>
      <w:r>
        <w:rPr>
          <w:rFonts w:ascii="Century Gothic" w:hAnsi="Century Gothic" w:cs="CenturyGothic"/>
        </w:rPr>
        <w:t>Warriner</w:t>
      </w:r>
      <w:proofErr w:type="spellEnd"/>
      <w:r>
        <w:rPr>
          <w:rFonts w:ascii="Century Gothic" w:hAnsi="Century Gothic" w:cs="CenturyGothic"/>
        </w:rPr>
        <w:t xml:space="preserve"> MAT which has proven to be a cost effective way to train staff using the expertise we have within our partnership. </w:t>
      </w:r>
      <w:r>
        <w:rPr>
          <w:rFonts w:ascii="Century Gothic" w:hAnsi="Century Gothic" w:cs="CenturyGothic"/>
          <w:color w:val="000000"/>
        </w:rPr>
        <w:t xml:space="preserve">We have also developed excellent working relationships with </w:t>
      </w:r>
      <w:proofErr w:type="spellStart"/>
      <w:r>
        <w:rPr>
          <w:rFonts w:ascii="Century Gothic" w:hAnsi="Century Gothic" w:cs="CenturyGothic"/>
          <w:color w:val="000000"/>
        </w:rPr>
        <w:t>Swalcliffe</w:t>
      </w:r>
      <w:proofErr w:type="spellEnd"/>
      <w:r>
        <w:rPr>
          <w:rFonts w:ascii="Century Gothic" w:hAnsi="Century Gothic" w:cs="CenturyGothic"/>
          <w:color w:val="000000"/>
        </w:rPr>
        <w:t xml:space="preserve"> Park Special Schools, who have hosted training for members of our staff. </w:t>
      </w:r>
      <w:r>
        <w:rPr>
          <w:rFonts w:ascii="Century Gothic" w:hAnsi="Century Gothic" w:cs="CenturyGothic"/>
        </w:rPr>
        <w:t xml:space="preserve">All of the </w:t>
      </w:r>
      <w:r>
        <w:rPr>
          <w:rFonts w:ascii="Century Gothic" w:hAnsi="Century Gothic" w:cs="Comic Sans MS"/>
          <w:bCs/>
        </w:rPr>
        <w:t xml:space="preserve">sessions </w:t>
      </w:r>
      <w:r>
        <w:rPr>
          <w:rFonts w:ascii="Century Gothic" w:hAnsi="Century Gothic" w:cs="CenturyGothic"/>
        </w:rPr>
        <w:t>were well attended by both teachers and TAs, and ranged from supporting pupils with Speech and Language difficulties, Autism/ ASD, to delivering individualised interventions to help children with literacy and numeracy difficulties and learning about child development.</w:t>
      </w:r>
    </w:p>
    <w:p>
      <w:pPr>
        <w:autoSpaceDE w:val="0"/>
        <w:autoSpaceDN w:val="0"/>
        <w:adjustRightInd w:val="0"/>
        <w:spacing w:after="0" w:line="360" w:lineRule="auto"/>
        <w:rPr>
          <w:rFonts w:ascii="Century Gothic" w:hAnsi="Century Gothic" w:cs="CenturyGothic"/>
          <w:color w:val="000000"/>
        </w:rPr>
      </w:pPr>
    </w:p>
    <w:p>
      <w:pPr>
        <w:autoSpaceDE w:val="0"/>
        <w:autoSpaceDN w:val="0"/>
        <w:adjustRightInd w:val="0"/>
        <w:spacing w:after="0" w:line="360" w:lineRule="auto"/>
        <w:rPr>
          <w:rFonts w:ascii="Century Gothic" w:hAnsi="Century Gothic" w:cs="CenturyGothic"/>
          <w:color w:val="000000"/>
        </w:rPr>
      </w:pPr>
    </w:p>
    <w:p>
      <w:pPr>
        <w:autoSpaceDE w:val="0"/>
        <w:autoSpaceDN w:val="0"/>
        <w:adjustRightInd w:val="0"/>
        <w:spacing w:after="0" w:line="240" w:lineRule="auto"/>
        <w:rPr>
          <w:rFonts w:ascii="Century Gothic" w:eastAsia="Times New Roman" w:hAnsi="Century Gothic" w:cs="Arial"/>
          <w:b/>
          <w:bCs/>
        </w:rPr>
      </w:pPr>
    </w:p>
    <w:p>
      <w:pPr>
        <w:autoSpaceDE w:val="0"/>
        <w:autoSpaceDN w:val="0"/>
        <w:adjustRightInd w:val="0"/>
        <w:spacing w:after="0" w:line="240" w:lineRule="auto"/>
        <w:rPr>
          <w:rFonts w:ascii="Century Gothic" w:eastAsia="Times New Roman" w:hAnsi="Century Gothic" w:cs="Arial"/>
          <w:b/>
          <w:bCs/>
        </w:rPr>
      </w:pPr>
    </w:p>
    <w:p>
      <w:pPr>
        <w:autoSpaceDE w:val="0"/>
        <w:autoSpaceDN w:val="0"/>
        <w:adjustRightInd w:val="0"/>
        <w:spacing w:after="0" w:line="240" w:lineRule="auto"/>
        <w:rPr>
          <w:rFonts w:ascii="Century Gothic" w:eastAsia="Times New Roman" w:hAnsi="Century Gothic" w:cs="Arial"/>
          <w:b/>
          <w:bCs/>
        </w:rPr>
      </w:pPr>
    </w:p>
    <w:p>
      <w:pPr>
        <w:autoSpaceDE w:val="0"/>
        <w:autoSpaceDN w:val="0"/>
        <w:adjustRightInd w:val="0"/>
        <w:spacing w:after="0" w:line="240" w:lineRule="auto"/>
        <w:rPr>
          <w:rFonts w:ascii="Century Gothic" w:eastAsia="Times New Roman" w:hAnsi="Century Gothic" w:cs="Arial"/>
          <w:b/>
          <w:bCs/>
        </w:rPr>
      </w:pPr>
    </w:p>
    <w:p>
      <w:pPr>
        <w:autoSpaceDE w:val="0"/>
        <w:autoSpaceDN w:val="0"/>
        <w:adjustRightInd w:val="0"/>
        <w:spacing w:after="0" w:line="240" w:lineRule="auto"/>
        <w:rPr>
          <w:rFonts w:ascii="Century Gothic" w:eastAsia="Times New Roman" w:hAnsi="Century Gothic" w:cs="Arial"/>
          <w:b/>
          <w:bCs/>
        </w:rPr>
      </w:pPr>
    </w:p>
    <w:p>
      <w:pPr>
        <w:autoSpaceDE w:val="0"/>
        <w:autoSpaceDN w:val="0"/>
        <w:adjustRightInd w:val="0"/>
        <w:spacing w:after="0" w:line="240" w:lineRule="auto"/>
        <w:rPr>
          <w:rFonts w:ascii="Century Gothic" w:eastAsia="Times New Roman" w:hAnsi="Century Gothic" w:cs="Arial"/>
          <w:b/>
          <w:bCs/>
        </w:rPr>
      </w:pPr>
    </w:p>
    <w:p>
      <w:pPr>
        <w:autoSpaceDE w:val="0"/>
        <w:autoSpaceDN w:val="0"/>
        <w:adjustRightInd w:val="0"/>
        <w:spacing w:after="0" w:line="240" w:lineRule="auto"/>
        <w:rPr>
          <w:rFonts w:ascii="Century Gothic" w:eastAsia="Times New Roman" w:hAnsi="Century Gothic" w:cs="Arial"/>
          <w:b/>
          <w:bCs/>
        </w:rPr>
      </w:pPr>
      <w:r>
        <w:rPr>
          <w:rFonts w:ascii="Century Gothic" w:eastAsia="Times New Roman" w:hAnsi="Century Gothic" w:cs="Arial"/>
          <w:b/>
          <w:bCs/>
        </w:rPr>
        <w:lastRenderedPageBreak/>
        <w:t>Staff Development 18/19</w:t>
      </w:r>
    </w:p>
    <w:p>
      <w:pPr>
        <w:autoSpaceDE w:val="0"/>
        <w:rPr>
          <w:rFonts w:ascii="Century Gothic" w:hAnsi="Century Gothic" w:cs="Arial"/>
          <w:b/>
          <w:bCs/>
        </w:rPr>
      </w:pPr>
    </w:p>
    <w:tbl>
      <w:tblPr>
        <w:tblW w:w="9889" w:type="dxa"/>
        <w:tblCellMar>
          <w:left w:w="10" w:type="dxa"/>
          <w:right w:w="10" w:type="dxa"/>
        </w:tblCellMar>
        <w:tblLook w:val="0000" w:firstRow="0" w:lastRow="0" w:firstColumn="0" w:lastColumn="0" w:noHBand="0" w:noVBand="0"/>
      </w:tblPr>
      <w:tblGrid>
        <w:gridCol w:w="5222"/>
        <w:gridCol w:w="2593"/>
        <w:gridCol w:w="2074"/>
      </w:tblGrid>
      <w:tr>
        <w:tc>
          <w:tcPr>
            <w:tcW w:w="5222"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top w:w="0" w:type="dxa"/>
              <w:left w:w="108" w:type="dxa"/>
              <w:bottom w:w="0" w:type="dxa"/>
              <w:right w:w="108" w:type="dxa"/>
            </w:tcMar>
          </w:tcPr>
          <w:p>
            <w:pPr>
              <w:jc w:val="center"/>
              <w:rPr>
                <w:rFonts w:ascii="Century Gothic" w:hAnsi="Century Gothic" w:cs="Arial"/>
                <w:b/>
              </w:rPr>
            </w:pPr>
            <w:r>
              <w:rPr>
                <w:rFonts w:ascii="Century Gothic" w:hAnsi="Century Gothic" w:cs="Arial"/>
                <w:b/>
              </w:rPr>
              <w:t>Course</w:t>
            </w:r>
          </w:p>
        </w:tc>
        <w:tc>
          <w:tcPr>
            <w:tcW w:w="259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top w:w="0" w:type="dxa"/>
              <w:left w:w="108" w:type="dxa"/>
              <w:bottom w:w="0" w:type="dxa"/>
              <w:right w:w="108" w:type="dxa"/>
            </w:tcMar>
          </w:tcPr>
          <w:p>
            <w:pPr>
              <w:rPr>
                <w:rFonts w:ascii="Century Gothic" w:hAnsi="Century Gothic" w:cs="Arial"/>
              </w:rPr>
            </w:pPr>
            <w:r>
              <w:rPr>
                <w:rFonts w:ascii="Century Gothic" w:hAnsi="Century Gothic" w:cs="Arial"/>
              </w:rPr>
              <w:t>Date</w:t>
            </w:r>
          </w:p>
        </w:tc>
        <w:tc>
          <w:tcPr>
            <w:tcW w:w="207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top w:w="0" w:type="dxa"/>
              <w:left w:w="108" w:type="dxa"/>
              <w:bottom w:w="0" w:type="dxa"/>
              <w:right w:w="108" w:type="dxa"/>
            </w:tcMar>
          </w:tcPr>
          <w:p>
            <w:pPr>
              <w:rPr>
                <w:rFonts w:ascii="Century Gothic" w:hAnsi="Century Gothic" w:cs="Arial"/>
              </w:rPr>
            </w:pPr>
            <w:r>
              <w:rPr>
                <w:rFonts w:ascii="Century Gothic" w:hAnsi="Century Gothic" w:cs="Arial"/>
              </w:rPr>
              <w:t>Staff</w:t>
            </w:r>
          </w:p>
        </w:tc>
      </w:tr>
      <w:tr>
        <w:tc>
          <w:tcPr>
            <w:tcW w:w="522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pPr>
              <w:jc w:val="center"/>
              <w:rPr>
                <w:rFonts w:ascii="Century Gothic" w:hAnsi="Century Gothic" w:cs="Arial"/>
              </w:rPr>
            </w:pPr>
            <w:r>
              <w:rPr>
                <w:rFonts w:ascii="Century Gothic" w:hAnsi="Century Gothic" w:cs="Arial"/>
              </w:rPr>
              <w:t>Introduction to Mental Health/Autism/OCD</w:t>
            </w:r>
          </w:p>
        </w:tc>
        <w:tc>
          <w:tcPr>
            <w:tcW w:w="25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pPr>
              <w:rPr>
                <w:rFonts w:ascii="Century Gothic" w:hAnsi="Century Gothic" w:cs="Arial"/>
              </w:rPr>
            </w:pPr>
            <w:r>
              <w:rPr>
                <w:rFonts w:ascii="Century Gothic" w:hAnsi="Century Gothic" w:cs="Arial"/>
              </w:rPr>
              <w:t>26</w:t>
            </w:r>
            <w:r>
              <w:rPr>
                <w:rFonts w:ascii="Century Gothic" w:hAnsi="Century Gothic" w:cs="Arial"/>
                <w:vertAlign w:val="superscript"/>
              </w:rPr>
              <w:t>th</w:t>
            </w:r>
            <w:r>
              <w:rPr>
                <w:rFonts w:ascii="Century Gothic" w:hAnsi="Century Gothic" w:cs="Arial"/>
              </w:rPr>
              <w:t xml:space="preserve"> September </w:t>
            </w:r>
          </w:p>
        </w:tc>
        <w:tc>
          <w:tcPr>
            <w:tcW w:w="207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pPr>
              <w:rPr>
                <w:rFonts w:ascii="Century Gothic" w:hAnsi="Century Gothic" w:cs="Arial"/>
              </w:rPr>
            </w:pPr>
            <w:r>
              <w:rPr>
                <w:rFonts w:ascii="Century Gothic" w:hAnsi="Century Gothic" w:cs="Arial"/>
              </w:rPr>
              <w:t>TC/HC</w:t>
            </w:r>
          </w:p>
        </w:tc>
      </w:tr>
      <w:tr>
        <w:tc>
          <w:tcPr>
            <w:tcW w:w="522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pPr>
              <w:jc w:val="center"/>
              <w:rPr>
                <w:rFonts w:ascii="Century Gothic" w:eastAsia="Calibri" w:hAnsi="Century Gothic" w:cs="Arial"/>
                <w:lang w:eastAsia="en-US"/>
              </w:rPr>
            </w:pPr>
            <w:r>
              <w:rPr>
                <w:rFonts w:ascii="Century Gothic" w:eastAsia="Calibri" w:hAnsi="Century Gothic" w:cs="Arial"/>
                <w:lang w:eastAsia="en-US"/>
              </w:rPr>
              <w:t>Team Teach</w:t>
            </w:r>
          </w:p>
        </w:tc>
        <w:tc>
          <w:tcPr>
            <w:tcW w:w="25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pPr>
              <w:rPr>
                <w:rFonts w:ascii="Century Gothic" w:hAnsi="Century Gothic" w:cs="Arial"/>
              </w:rPr>
            </w:pPr>
            <w:r>
              <w:rPr>
                <w:rFonts w:ascii="Century Gothic" w:hAnsi="Century Gothic" w:cs="Arial"/>
              </w:rPr>
              <w:t>10</w:t>
            </w:r>
            <w:r>
              <w:rPr>
                <w:rFonts w:ascii="Century Gothic" w:hAnsi="Century Gothic" w:cs="Arial"/>
                <w:vertAlign w:val="superscript"/>
              </w:rPr>
              <w:t>th</w:t>
            </w:r>
            <w:r>
              <w:rPr>
                <w:rFonts w:ascii="Century Gothic" w:hAnsi="Century Gothic" w:cs="Arial"/>
              </w:rPr>
              <w:t xml:space="preserve"> October</w:t>
            </w:r>
          </w:p>
        </w:tc>
        <w:tc>
          <w:tcPr>
            <w:tcW w:w="207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pPr>
              <w:rPr>
                <w:rFonts w:ascii="Century Gothic" w:hAnsi="Century Gothic" w:cs="Arial"/>
              </w:rPr>
            </w:pPr>
            <w:r>
              <w:rPr>
                <w:rFonts w:ascii="Century Gothic" w:hAnsi="Century Gothic" w:cs="Arial"/>
              </w:rPr>
              <w:t>TT/PH</w:t>
            </w:r>
          </w:p>
        </w:tc>
      </w:tr>
      <w:tr>
        <w:tc>
          <w:tcPr>
            <w:tcW w:w="522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pPr>
              <w:jc w:val="center"/>
              <w:rPr>
                <w:rFonts w:ascii="Century Gothic" w:hAnsi="Century Gothic" w:cs="Arial"/>
              </w:rPr>
            </w:pPr>
            <w:r>
              <w:rPr>
                <w:rFonts w:ascii="Century Gothic" w:hAnsi="Century Gothic" w:cs="Arial"/>
              </w:rPr>
              <w:t>Mental health First Aid Training</w:t>
            </w:r>
          </w:p>
        </w:tc>
        <w:tc>
          <w:tcPr>
            <w:tcW w:w="25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pPr>
              <w:rPr>
                <w:rFonts w:ascii="Century Gothic" w:hAnsi="Century Gothic" w:cs="Arial"/>
              </w:rPr>
            </w:pPr>
            <w:r>
              <w:rPr>
                <w:rFonts w:ascii="Century Gothic" w:hAnsi="Century Gothic" w:cs="Arial"/>
              </w:rPr>
              <w:t>5</w:t>
            </w:r>
            <w:r>
              <w:rPr>
                <w:rFonts w:ascii="Century Gothic" w:hAnsi="Century Gothic" w:cs="Arial"/>
                <w:vertAlign w:val="superscript"/>
              </w:rPr>
              <w:t>th</w:t>
            </w:r>
            <w:r>
              <w:rPr>
                <w:rFonts w:ascii="Century Gothic" w:hAnsi="Century Gothic" w:cs="Arial"/>
              </w:rPr>
              <w:t>&amp; 6</w:t>
            </w:r>
            <w:r>
              <w:rPr>
                <w:rFonts w:ascii="Century Gothic" w:hAnsi="Century Gothic" w:cs="Arial"/>
                <w:vertAlign w:val="superscript"/>
              </w:rPr>
              <w:t>th</w:t>
            </w:r>
            <w:r>
              <w:rPr>
                <w:rFonts w:ascii="Century Gothic" w:hAnsi="Century Gothic" w:cs="Arial"/>
              </w:rPr>
              <w:t xml:space="preserve"> November</w:t>
            </w:r>
          </w:p>
        </w:tc>
        <w:tc>
          <w:tcPr>
            <w:tcW w:w="207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pPr>
              <w:rPr>
                <w:rFonts w:ascii="Century Gothic" w:hAnsi="Century Gothic" w:cs="Arial"/>
              </w:rPr>
            </w:pPr>
            <w:r>
              <w:rPr>
                <w:rFonts w:ascii="Century Gothic" w:hAnsi="Century Gothic" w:cs="Arial"/>
              </w:rPr>
              <w:t>TT/PH</w:t>
            </w:r>
          </w:p>
        </w:tc>
      </w:tr>
      <w:tr>
        <w:tc>
          <w:tcPr>
            <w:tcW w:w="522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pPr>
              <w:autoSpaceDE w:val="0"/>
              <w:jc w:val="center"/>
              <w:rPr>
                <w:rFonts w:ascii="Century Gothic" w:hAnsi="Century Gothic" w:cs="Arial"/>
                <w:bCs/>
              </w:rPr>
            </w:pPr>
            <w:r>
              <w:rPr>
                <w:rFonts w:ascii="Century Gothic" w:hAnsi="Century Gothic" w:cs="Arial"/>
                <w:bCs/>
              </w:rPr>
              <w:t>Developing Social Interaction</w:t>
            </w:r>
          </w:p>
        </w:tc>
        <w:tc>
          <w:tcPr>
            <w:tcW w:w="25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pPr>
              <w:autoSpaceDE w:val="0"/>
              <w:rPr>
                <w:rFonts w:ascii="Century Gothic" w:hAnsi="Century Gothic" w:cs="Arial"/>
                <w:bCs/>
              </w:rPr>
            </w:pPr>
            <w:r>
              <w:rPr>
                <w:rFonts w:ascii="Century Gothic" w:hAnsi="Century Gothic" w:cs="Arial"/>
                <w:bCs/>
              </w:rPr>
              <w:t>30</w:t>
            </w:r>
            <w:r>
              <w:rPr>
                <w:rFonts w:ascii="Century Gothic" w:hAnsi="Century Gothic" w:cs="Arial"/>
                <w:bCs/>
                <w:vertAlign w:val="superscript"/>
              </w:rPr>
              <w:t>th</w:t>
            </w:r>
            <w:r>
              <w:rPr>
                <w:rFonts w:ascii="Century Gothic" w:hAnsi="Century Gothic" w:cs="Arial"/>
                <w:bCs/>
              </w:rPr>
              <w:t xml:space="preserve"> January</w:t>
            </w:r>
          </w:p>
        </w:tc>
        <w:tc>
          <w:tcPr>
            <w:tcW w:w="207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pPr>
              <w:autoSpaceDE w:val="0"/>
              <w:rPr>
                <w:rFonts w:ascii="Century Gothic" w:hAnsi="Century Gothic" w:cs="Arial"/>
                <w:bCs/>
              </w:rPr>
            </w:pPr>
            <w:r>
              <w:rPr>
                <w:rFonts w:ascii="Century Gothic" w:hAnsi="Century Gothic" w:cs="Arial"/>
                <w:bCs/>
              </w:rPr>
              <w:t>HC/TC/PH</w:t>
            </w:r>
          </w:p>
        </w:tc>
      </w:tr>
      <w:tr>
        <w:tc>
          <w:tcPr>
            <w:tcW w:w="522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pPr>
              <w:ind w:left="360"/>
              <w:jc w:val="center"/>
              <w:rPr>
                <w:rFonts w:ascii="Century Gothic" w:eastAsia="Calibri" w:hAnsi="Century Gothic" w:cs="Arial"/>
                <w:lang w:eastAsia="en-US"/>
              </w:rPr>
            </w:pPr>
            <w:r>
              <w:rPr>
                <w:rFonts w:ascii="Century Gothic" w:eastAsia="Calibri" w:hAnsi="Century Gothic" w:cs="Arial"/>
                <w:lang w:eastAsia="en-US"/>
              </w:rPr>
              <w:t>Quality of Life Training</w:t>
            </w:r>
          </w:p>
        </w:tc>
        <w:tc>
          <w:tcPr>
            <w:tcW w:w="25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pPr>
              <w:rPr>
                <w:rFonts w:ascii="Century Gothic" w:hAnsi="Century Gothic" w:cs="Arial"/>
              </w:rPr>
            </w:pPr>
            <w:r>
              <w:rPr>
                <w:rFonts w:ascii="Century Gothic" w:hAnsi="Century Gothic" w:cs="Arial"/>
              </w:rPr>
              <w:t>27</w:t>
            </w:r>
            <w:r>
              <w:rPr>
                <w:rFonts w:ascii="Century Gothic" w:hAnsi="Century Gothic" w:cs="Arial"/>
                <w:vertAlign w:val="superscript"/>
              </w:rPr>
              <w:t>th</w:t>
            </w:r>
            <w:r>
              <w:rPr>
                <w:rFonts w:ascii="Century Gothic" w:hAnsi="Century Gothic" w:cs="Arial"/>
              </w:rPr>
              <w:t xml:space="preserve"> February</w:t>
            </w:r>
          </w:p>
        </w:tc>
        <w:tc>
          <w:tcPr>
            <w:tcW w:w="207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pPr>
              <w:rPr>
                <w:rFonts w:ascii="Century Gothic" w:hAnsi="Century Gothic" w:cs="Arial"/>
              </w:rPr>
            </w:pPr>
            <w:r>
              <w:rPr>
                <w:rFonts w:ascii="Century Gothic" w:hAnsi="Century Gothic" w:cs="Arial"/>
              </w:rPr>
              <w:t>TT</w:t>
            </w:r>
          </w:p>
        </w:tc>
      </w:tr>
      <w:tr>
        <w:tc>
          <w:tcPr>
            <w:tcW w:w="522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pPr>
              <w:jc w:val="center"/>
              <w:rPr>
                <w:rFonts w:ascii="Century Gothic" w:hAnsi="Century Gothic" w:cs="Arial"/>
              </w:rPr>
            </w:pPr>
            <w:r>
              <w:rPr>
                <w:rFonts w:ascii="Century Gothic" w:hAnsi="Century Gothic" w:cs="Arial"/>
              </w:rPr>
              <w:t>DSL Training</w:t>
            </w:r>
          </w:p>
        </w:tc>
        <w:tc>
          <w:tcPr>
            <w:tcW w:w="25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pPr>
              <w:rPr>
                <w:rFonts w:ascii="Century Gothic" w:hAnsi="Century Gothic" w:cs="Arial"/>
              </w:rPr>
            </w:pPr>
            <w:r>
              <w:rPr>
                <w:rFonts w:ascii="Century Gothic" w:hAnsi="Century Gothic" w:cs="Arial"/>
              </w:rPr>
              <w:t>21</w:t>
            </w:r>
            <w:r>
              <w:rPr>
                <w:rFonts w:ascii="Century Gothic" w:hAnsi="Century Gothic" w:cs="Arial"/>
                <w:vertAlign w:val="superscript"/>
              </w:rPr>
              <w:t>st</w:t>
            </w:r>
            <w:r>
              <w:rPr>
                <w:rFonts w:ascii="Century Gothic" w:hAnsi="Century Gothic" w:cs="Arial"/>
              </w:rPr>
              <w:t xml:space="preserve"> March</w:t>
            </w:r>
          </w:p>
        </w:tc>
        <w:tc>
          <w:tcPr>
            <w:tcW w:w="207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pPr>
              <w:rPr>
                <w:rFonts w:ascii="Century Gothic" w:hAnsi="Century Gothic" w:cs="Arial"/>
              </w:rPr>
            </w:pPr>
            <w:r>
              <w:rPr>
                <w:rFonts w:ascii="Century Gothic" w:hAnsi="Century Gothic" w:cs="Arial"/>
              </w:rPr>
              <w:t>TT</w:t>
            </w:r>
          </w:p>
        </w:tc>
      </w:tr>
      <w:tr>
        <w:tc>
          <w:tcPr>
            <w:tcW w:w="522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pPr>
              <w:autoSpaceDE w:val="0"/>
              <w:jc w:val="center"/>
              <w:rPr>
                <w:rFonts w:ascii="Century Gothic" w:hAnsi="Century Gothic" w:cs="Arial"/>
                <w:bCs/>
              </w:rPr>
            </w:pPr>
            <w:r>
              <w:rPr>
                <w:rFonts w:ascii="Century Gothic" w:hAnsi="Century Gothic" w:cs="Arial"/>
                <w:bCs/>
              </w:rPr>
              <w:t>Understanding sensory Regulation</w:t>
            </w:r>
          </w:p>
        </w:tc>
        <w:tc>
          <w:tcPr>
            <w:tcW w:w="25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pPr>
              <w:autoSpaceDE w:val="0"/>
              <w:rPr>
                <w:rFonts w:ascii="Century Gothic" w:hAnsi="Century Gothic" w:cs="Arial"/>
              </w:rPr>
            </w:pPr>
            <w:r>
              <w:rPr>
                <w:rFonts w:ascii="Century Gothic" w:hAnsi="Century Gothic" w:cs="Arial"/>
              </w:rPr>
              <w:t>12</w:t>
            </w:r>
            <w:r>
              <w:rPr>
                <w:rFonts w:ascii="Century Gothic" w:hAnsi="Century Gothic" w:cs="Arial"/>
                <w:vertAlign w:val="superscript"/>
              </w:rPr>
              <w:t>th</w:t>
            </w:r>
            <w:r>
              <w:rPr>
                <w:rFonts w:ascii="Century Gothic" w:hAnsi="Century Gothic" w:cs="Arial"/>
              </w:rPr>
              <w:t xml:space="preserve"> June</w:t>
            </w:r>
          </w:p>
        </w:tc>
        <w:tc>
          <w:tcPr>
            <w:tcW w:w="207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pPr>
              <w:autoSpaceDE w:val="0"/>
              <w:rPr>
                <w:rFonts w:ascii="Century Gothic" w:hAnsi="Century Gothic" w:cs="Arial"/>
                <w:bCs/>
              </w:rPr>
            </w:pPr>
            <w:r>
              <w:rPr>
                <w:rFonts w:ascii="Century Gothic" w:hAnsi="Century Gothic" w:cs="Arial"/>
                <w:bCs/>
              </w:rPr>
              <w:t>SL/RE/TC/PH</w:t>
            </w:r>
          </w:p>
        </w:tc>
      </w:tr>
    </w:tbl>
    <w:p>
      <w:pPr>
        <w:autoSpaceDE w:val="0"/>
        <w:autoSpaceDN w:val="0"/>
        <w:adjustRightInd w:val="0"/>
        <w:spacing w:after="0" w:line="360" w:lineRule="auto"/>
        <w:rPr>
          <w:rFonts w:ascii="Comic Sans MS" w:hAnsi="Comic Sans MS" w:cs="Comic Sans MS"/>
        </w:rPr>
      </w:pPr>
    </w:p>
    <w:p>
      <w:pPr>
        <w:autoSpaceDE w:val="0"/>
        <w:autoSpaceDN w:val="0"/>
        <w:adjustRightInd w:val="0"/>
        <w:spacing w:after="0" w:line="360" w:lineRule="auto"/>
        <w:rPr>
          <w:rFonts w:ascii="Century Gothic" w:hAnsi="Century Gothic" w:cs="CenturyGothic-Bold"/>
          <w:b/>
          <w:bCs/>
          <w:color w:val="000000"/>
        </w:rPr>
      </w:pPr>
      <w:r>
        <w:rPr>
          <w:rFonts w:ascii="Century Gothic" w:hAnsi="Century Gothic" w:cs="CenturyGothic-Bold"/>
          <w:b/>
          <w:bCs/>
          <w:color w:val="000000"/>
        </w:rPr>
        <w:t>6) Work with external agencies</w:t>
      </w:r>
    </w:p>
    <w:p>
      <w:pPr>
        <w:autoSpaceDE w:val="0"/>
        <w:autoSpaceDN w:val="0"/>
        <w:adjustRightInd w:val="0"/>
        <w:spacing w:after="0" w:line="360" w:lineRule="auto"/>
        <w:rPr>
          <w:rFonts w:ascii="Century Gothic" w:hAnsi="Century Gothic" w:cs="CenturyGothic"/>
          <w:color w:val="000000"/>
        </w:rPr>
      </w:pPr>
      <w:r>
        <w:rPr>
          <w:rFonts w:ascii="Century Gothic" w:hAnsi="Century Gothic" w:cs="CenturyGothic"/>
          <w:color w:val="000000"/>
        </w:rPr>
        <w:t xml:space="preserve">There are close and effective links with a wide variety of agencies to support parents/carers and the school in addressing children’s needs. From September 2014, we have purchased support from the EP directly via The </w:t>
      </w:r>
      <w:proofErr w:type="spellStart"/>
      <w:r>
        <w:rPr>
          <w:rFonts w:ascii="Century Gothic" w:hAnsi="Century Gothic" w:cs="CenturyGothic"/>
          <w:color w:val="000000"/>
        </w:rPr>
        <w:t>Warriner</w:t>
      </w:r>
      <w:proofErr w:type="spellEnd"/>
      <w:r>
        <w:rPr>
          <w:rFonts w:ascii="Century Gothic" w:hAnsi="Century Gothic" w:cs="CenturyGothic"/>
          <w:color w:val="000000"/>
        </w:rPr>
        <w:t xml:space="preserve"> MAT and Oxford Educational Psychology Practice. </w:t>
      </w:r>
    </w:p>
    <w:p>
      <w:pPr>
        <w:autoSpaceDE w:val="0"/>
        <w:autoSpaceDN w:val="0"/>
        <w:adjustRightInd w:val="0"/>
        <w:spacing w:after="0" w:line="360" w:lineRule="auto"/>
        <w:rPr>
          <w:rFonts w:ascii="Century Gothic" w:hAnsi="Century Gothic" w:cs="CenturyGothic-Bold"/>
          <w:b/>
          <w:bCs/>
          <w:color w:val="000000"/>
        </w:rPr>
      </w:pPr>
    </w:p>
    <w:p>
      <w:pPr>
        <w:autoSpaceDE w:val="0"/>
        <w:autoSpaceDN w:val="0"/>
        <w:adjustRightInd w:val="0"/>
        <w:spacing w:after="0" w:line="360" w:lineRule="auto"/>
        <w:rPr>
          <w:rFonts w:ascii="Century Gothic" w:hAnsi="Century Gothic" w:cs="CenturyGothic-Bold"/>
          <w:b/>
          <w:bCs/>
          <w:color w:val="000000"/>
        </w:rPr>
      </w:pPr>
      <w:r>
        <w:rPr>
          <w:rFonts w:ascii="Century Gothic" w:hAnsi="Century Gothic" w:cs="CenturyGothic-Bold"/>
          <w:b/>
          <w:bCs/>
          <w:color w:val="000000"/>
        </w:rPr>
        <w:t>Agencies we work with include:</w:t>
      </w:r>
    </w:p>
    <w:p>
      <w:pPr>
        <w:autoSpaceDE w:val="0"/>
        <w:autoSpaceDN w:val="0"/>
        <w:adjustRightInd w:val="0"/>
        <w:spacing w:after="0" w:line="360" w:lineRule="auto"/>
        <w:rPr>
          <w:rFonts w:ascii="Century Gothic" w:hAnsi="Century Gothic" w:cs="CenturyGothic"/>
          <w:color w:val="000000"/>
        </w:rPr>
      </w:pPr>
      <w:r>
        <w:rPr>
          <w:rFonts w:ascii="Century Gothic" w:hAnsi="Century Gothic" w:cs="CenturyGothic"/>
          <w:color w:val="000000"/>
        </w:rPr>
        <w:t>Educational Psychology (EP), Occupational Therapist (OT), Speech and Language Therapist (SALT), Language and Communication Advisory Teacher (LACAT), Physiotherapist (PT) Communication and Interaction Service, Early Years SEN Inclusion Team,  CAMHS/PCAMHS (Child and Adolescent Mental Health Services), School Health Nurse, Health Visitors, Children’s Social Care (Safeguarding and Child Protection), Banbury Early Intervention Hub, Home-School Link Worker, Community Paediatrics, Thames Valley Police, Multi Agency Safeguarding Hub (MASH), Butterfly</w:t>
      </w:r>
    </w:p>
    <w:p>
      <w:pPr>
        <w:autoSpaceDE w:val="0"/>
        <w:autoSpaceDN w:val="0"/>
        <w:adjustRightInd w:val="0"/>
        <w:spacing w:after="0" w:line="360" w:lineRule="auto"/>
        <w:rPr>
          <w:rFonts w:ascii="Century Gothic" w:hAnsi="Century Gothic" w:cs="CenturyGothic"/>
          <w:color w:val="000000"/>
        </w:rPr>
      </w:pPr>
      <w:r>
        <w:rPr>
          <w:rFonts w:ascii="Century Gothic" w:hAnsi="Century Gothic" w:cs="CenturyGothic"/>
          <w:color w:val="000000"/>
        </w:rPr>
        <w:t>Meadows Children’s Centre.</w:t>
      </w:r>
    </w:p>
    <w:p>
      <w:pPr>
        <w:autoSpaceDE w:val="0"/>
        <w:autoSpaceDN w:val="0"/>
        <w:adjustRightInd w:val="0"/>
        <w:spacing w:after="0" w:line="360" w:lineRule="auto"/>
        <w:rPr>
          <w:rFonts w:ascii="Century Gothic" w:hAnsi="Century Gothic" w:cs="CenturyGothic"/>
          <w:color w:val="000000"/>
          <w:highlight w:val="yellow"/>
        </w:rPr>
      </w:pPr>
    </w:p>
    <w:p>
      <w:pPr>
        <w:autoSpaceDE w:val="0"/>
        <w:autoSpaceDN w:val="0"/>
        <w:adjustRightInd w:val="0"/>
        <w:spacing w:after="0" w:line="360" w:lineRule="auto"/>
        <w:rPr>
          <w:rFonts w:ascii="Century Gothic" w:hAnsi="Century Gothic" w:cs="CenturyGothic"/>
          <w:color w:val="000000"/>
        </w:rPr>
      </w:pPr>
      <w:r>
        <w:rPr>
          <w:rFonts w:ascii="Century Gothic" w:hAnsi="Century Gothic" w:cs="CenturyGothic"/>
          <w:color w:val="000000"/>
        </w:rPr>
        <w:t>The impact of each outside agency is closely monitored, and its success is recorded within the individual child’s profiles.</w:t>
      </w:r>
    </w:p>
    <w:p>
      <w:pPr>
        <w:autoSpaceDE w:val="0"/>
        <w:autoSpaceDN w:val="0"/>
        <w:adjustRightInd w:val="0"/>
        <w:spacing w:after="0" w:line="360" w:lineRule="auto"/>
        <w:rPr>
          <w:rFonts w:ascii="Century Gothic" w:hAnsi="Century Gothic" w:cs="CenturyGothic"/>
          <w:color w:val="000000"/>
        </w:rPr>
      </w:pPr>
      <w:r>
        <w:rPr>
          <w:rFonts w:ascii="Century Gothic" w:hAnsi="Century Gothic" w:cs="CenturyGothic"/>
          <w:color w:val="000000"/>
        </w:rPr>
        <w:t xml:space="preserve">Further information as to the success of each intervention is available within the school’s evaluated provision map. All interventions are evidence based so that improvements can be measured. This year has seen many changes within the </w:t>
      </w:r>
      <w:r>
        <w:rPr>
          <w:rFonts w:ascii="Century Gothic" w:hAnsi="Century Gothic" w:cs="CenturyGothic"/>
          <w:color w:val="000000"/>
        </w:rPr>
        <w:lastRenderedPageBreak/>
        <w:t xml:space="preserve">implementation of SEND. </w:t>
      </w:r>
      <w:proofErr w:type="gramStart"/>
      <w:r>
        <w:rPr>
          <w:rFonts w:ascii="Century Gothic" w:hAnsi="Century Gothic" w:cs="CenturyGothic"/>
          <w:color w:val="000000"/>
        </w:rPr>
        <w:t>Staff  have</w:t>
      </w:r>
      <w:proofErr w:type="gramEnd"/>
      <w:r>
        <w:rPr>
          <w:rFonts w:ascii="Century Gothic" w:hAnsi="Century Gothic" w:cs="CenturyGothic"/>
          <w:color w:val="000000"/>
        </w:rPr>
        <w:t xml:space="preserve"> embraced the framework, and are working effectively and confidently within it to ensure all our pupils receive the best possible education. Our SEND Governor (Michelle Jarvis) has met regularly with me to offer support and keep up to date with the changing SEND landscape. It has been a pleasure to continue in this role this year, and to have been so well supported.</w:t>
      </w:r>
    </w:p>
    <w:p>
      <w:pPr>
        <w:autoSpaceDE w:val="0"/>
        <w:autoSpaceDN w:val="0"/>
        <w:adjustRightInd w:val="0"/>
        <w:spacing w:after="0" w:line="360" w:lineRule="auto"/>
        <w:rPr>
          <w:rFonts w:ascii="Century Gothic" w:hAnsi="Century Gothic" w:cs="CenturyGothic"/>
          <w:color w:val="000000"/>
        </w:rPr>
      </w:pPr>
    </w:p>
    <w:p>
      <w:pPr>
        <w:autoSpaceDE w:val="0"/>
        <w:autoSpaceDN w:val="0"/>
        <w:adjustRightInd w:val="0"/>
        <w:spacing w:after="0" w:line="360" w:lineRule="auto"/>
        <w:jc w:val="center"/>
        <w:rPr>
          <w:rFonts w:ascii="Arial Narrow" w:hAnsi="Arial Narrow"/>
          <w:b/>
          <w:bCs/>
          <w:i/>
          <w:iCs/>
          <w:color w:val="000000"/>
          <w:bdr w:val="none" w:sz="0" w:space="0" w:color="auto" w:frame="1"/>
          <w:shd w:val="clear" w:color="auto" w:fill="FFFFFF"/>
          <w:lang w:val="en-US"/>
        </w:rPr>
      </w:pPr>
      <w:r>
        <w:rPr>
          <w:rFonts w:ascii="Arial Narrow" w:hAnsi="Arial Narrow"/>
          <w:b/>
          <w:bCs/>
          <w:i/>
          <w:iCs/>
          <w:color w:val="000000"/>
          <w:bdr w:val="none" w:sz="0" w:space="0" w:color="auto" w:frame="1"/>
          <w:shd w:val="clear" w:color="auto" w:fill="FFFFFF"/>
          <w:lang w:val="en-US"/>
        </w:rPr>
        <w:t xml:space="preserve">‘There are only two lasting bequests we can hope to give our children. </w:t>
      </w:r>
    </w:p>
    <w:p>
      <w:pPr>
        <w:autoSpaceDE w:val="0"/>
        <w:autoSpaceDN w:val="0"/>
        <w:adjustRightInd w:val="0"/>
        <w:spacing w:after="0" w:line="360" w:lineRule="auto"/>
        <w:jc w:val="center"/>
        <w:rPr>
          <w:rFonts w:ascii="Century Gothic" w:hAnsi="Century Gothic" w:cs="CenturyGothic"/>
          <w:color w:val="000000"/>
        </w:rPr>
      </w:pPr>
      <w:bookmarkStart w:id="0" w:name="_GoBack"/>
      <w:bookmarkEnd w:id="0"/>
      <w:r>
        <w:rPr>
          <w:rFonts w:ascii="Arial Narrow" w:hAnsi="Arial Narrow"/>
          <w:b/>
          <w:bCs/>
          <w:i/>
          <w:iCs/>
          <w:color w:val="000000"/>
          <w:bdr w:val="none" w:sz="0" w:space="0" w:color="auto" w:frame="1"/>
          <w:shd w:val="clear" w:color="auto" w:fill="FFFFFF"/>
          <w:lang w:val="en-US"/>
        </w:rPr>
        <w:t>One of these is roots, the other, wings.’</w:t>
      </w:r>
    </w:p>
    <w:sectPr>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Gothic">
    <w:panose1 w:val="00000000000000000000"/>
    <w:charset w:val="00"/>
    <w:family w:val="swiss"/>
    <w:notTrueType/>
    <w:pitch w:val="default"/>
    <w:sig w:usb0="00000003"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 w:name="Comic Sans MS">
    <w:panose1 w:val="030F0702030302020204"/>
    <w:charset w:val="00"/>
    <w:family w:val="script"/>
    <w:pitch w:val="variable"/>
    <w:sig w:usb0="00000287" w:usb1="00000013" w:usb2="00000000" w:usb3="00000000" w:csb0="0000009F" w:csb1="00000000"/>
  </w:font>
  <w:font w:name="CenturyGothic-Bold">
    <w:panose1 w:val="00000000000000000000"/>
    <w:charset w:val="00"/>
    <w:family w:val="swiss"/>
    <w:notTrueType/>
    <w:pitch w:val="default"/>
    <w:sig w:usb0="00000003" w:usb1="00000000" w:usb2="00000000" w:usb3="00000000" w:csb0="00000001" w:csb1="00000000"/>
  </w:font>
  <w:font w:name="ArialMT">
    <w:panose1 w:val="00000000000000000000"/>
    <w:charset w:val="00"/>
    <w:family w:val="swiss"/>
    <w:notTrueType/>
    <w:pitch w:val="default"/>
    <w:sig w:usb0="00000003" w:usb1="00000000" w:usb2="00000000" w:usb3="00000000" w:csb0="00000001" w:csb1="00000000"/>
  </w:font>
  <w:font w:name="Arial-BoldMT">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59F1867-AB24-46A6-81D4-04A09C4F2B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Pr>
      <w:color w:val="0000FF" w:themeColor="hyperlink"/>
      <w:u w:val="single"/>
    </w:rPr>
  </w:style>
  <w:style w:type="table" w:styleId="TableGrid">
    <w:name w:val="Table Grid"/>
    <w:basedOn w:val="TableNormal"/>
    <w:uiPriority w:val="5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3.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hyperlink" Target="https://www.oxfordshire.gov.uk/cms/public-site/special-educational-needs-and-disabilitylocal-offer" TargetMode="Externa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1413</Words>
  <Characters>8057</Characters>
  <Application>Microsoft Office Word</Application>
  <DocSecurity>0</DocSecurity>
  <Lines>67</Lines>
  <Paragraphs>18</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9452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Teacher</dc:creator>
  <cp:lastModifiedBy>Nikki Stevenson</cp:lastModifiedBy>
  <cp:revision>3</cp:revision>
  <cp:lastPrinted>2017-07-05T14:50:00Z</cp:lastPrinted>
  <dcterms:created xsi:type="dcterms:W3CDTF">2020-01-14T15:36:00Z</dcterms:created>
  <dcterms:modified xsi:type="dcterms:W3CDTF">2020-01-14T15:45:00Z</dcterms:modified>
</cp:coreProperties>
</file>